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left="2160" w:firstLine="720"/>
        <w:rPr>
          <w:rFonts w:ascii="Times New Roman" w:cs="Times New Roman" w:hAnsi="Times New Roman"/>
          <w:b/>
          <w:sz w:val="24"/>
          <w:szCs w:val="24"/>
        </w:rPr>
      </w:pPr>
    </w:p>
    <w:p>
      <w:pPr>
        <w:pStyle w:val="style0"/>
        <w:spacing w:after="0" w:lineRule="auto" w:line="480"/>
        <w:ind w:left="2160" w:firstLine="72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bookmarkStart w:id="0" w:name="_GoBack"/>
    <w:bookmarkEnd w:id="0"/>
    <w:p>
      <w:pPr>
        <w:pStyle w:val="style0"/>
        <w:spacing w:after="0" w:lineRule="auto" w:line="480"/>
        <w:rPr>
          <w:rFonts w:ascii="Times New Roman" w:cs="Times New Roman" w:hAnsi="Times New Roman"/>
          <w:b/>
          <w:sz w:val="24"/>
          <w:szCs w:val="24"/>
        </w:rPr>
      </w:pPr>
    </w:p>
    <w:p>
      <w:pPr>
        <w:pStyle w:val="style0"/>
        <w:tabs>
          <w:tab w:val="left" w:leader="none" w:pos="4305"/>
        </w:tabs>
        <w:spacing w:after="0" w:lineRule="auto" w:line="480"/>
        <w:ind w:left="2160" w:firstLine="720"/>
        <w:rPr>
          <w:rFonts w:ascii="Times New Roman" w:cs="Times New Roman" w:hAnsi="Times New Roman"/>
          <w:b/>
          <w:sz w:val="24"/>
          <w:szCs w:val="24"/>
        </w:rPr>
      </w:pPr>
      <w:r>
        <w:rPr>
          <w:rFonts w:ascii="Times New Roman" w:cs="Times New Roman" w:hAnsi="Times New Roman"/>
          <w:b/>
          <w:sz w:val="24"/>
          <w:szCs w:val="24"/>
        </w:rPr>
        <w:tab/>
      </w:r>
    </w:p>
    <w:p>
      <w:pPr>
        <w:pStyle w:val="style0"/>
        <w:tabs>
          <w:tab w:val="left" w:leader="none" w:pos="4305"/>
        </w:tabs>
        <w:spacing w:after="0" w:lineRule="auto" w:line="480"/>
        <w:ind w:left="2160" w:firstLine="720"/>
        <w:rPr>
          <w:rFonts w:ascii="Times New Roman" w:cs="Times New Roman" w:hAnsi="Times New Roman"/>
          <w:b/>
          <w:sz w:val="24"/>
          <w:szCs w:val="24"/>
        </w:rPr>
      </w:pPr>
    </w:p>
    <w:p>
      <w:pPr>
        <w:pStyle w:val="style0"/>
        <w:tabs>
          <w:tab w:val="left" w:leader="none" w:pos="4305"/>
        </w:tabs>
        <w:spacing w:after="0" w:lineRule="auto" w:line="480"/>
        <w:ind w:left="2160" w:firstLine="720"/>
        <w:rPr>
          <w:rFonts w:ascii="Times New Roman" w:cs="Times New Roman" w:hAnsi="Times New Roman"/>
          <w:b/>
          <w:sz w:val="24"/>
          <w:szCs w:val="24"/>
        </w:rPr>
      </w:pPr>
    </w:p>
    <w:p>
      <w:pPr>
        <w:pStyle w:val="style0"/>
        <w:tabs>
          <w:tab w:val="left" w:leader="none" w:pos="4305"/>
        </w:tabs>
        <w:spacing w:after="0" w:lineRule="auto" w:line="480"/>
        <w:ind w:left="2160" w:firstLine="720"/>
        <w:rPr>
          <w:rFonts w:ascii="Times New Roman" w:cs="Times New Roman" w:hAnsi="Times New Roman"/>
          <w:b/>
          <w:sz w:val="24"/>
          <w:szCs w:val="24"/>
        </w:rPr>
      </w:pPr>
    </w:p>
    <w:p>
      <w:pPr>
        <w:pStyle w:val="style0"/>
        <w:tabs>
          <w:tab w:val="left" w:leader="none" w:pos="4305"/>
        </w:tabs>
        <w:spacing w:after="0" w:lineRule="auto" w:line="480"/>
        <w:ind w:left="2160" w:firstLine="720"/>
        <w:rPr>
          <w:rFonts w:ascii="Times New Roman" w:cs="Times New Roman" w:hAnsi="Times New Roman"/>
          <w:b/>
          <w:sz w:val="24"/>
          <w:szCs w:val="24"/>
        </w:rPr>
      </w:pPr>
    </w:p>
    <w:p>
      <w:pPr>
        <w:pStyle w:val="style0"/>
        <w:tabs>
          <w:tab w:val="left" w:leader="none" w:pos="4305"/>
        </w:tabs>
        <w:spacing w:after="0" w:lineRule="auto" w:line="480"/>
        <w:ind w:left="2160" w:firstLine="720"/>
        <w:rPr>
          <w:rFonts w:ascii="Times New Roman" w:cs="Times New Roman" w:hAnsi="Times New Roman"/>
          <w:b/>
          <w:sz w:val="24"/>
          <w:szCs w:val="24"/>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Diagnostic paper on Gender Dysphoria on DSM-5</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 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Instructor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 of submission</w:t>
      </w:r>
    </w:p>
    <w:p>
      <w:pPr>
        <w:pStyle w:val="style0"/>
        <w:spacing w:after="0" w:lineRule="auto" w:line="480"/>
        <w:ind w:left="2160" w:firstLine="720"/>
        <w:rPr>
          <w:rFonts w:ascii="Times New Roman" w:cs="Times New Roman" w:hAnsi="Times New Roman"/>
          <w:b/>
          <w:sz w:val="24"/>
          <w:szCs w:val="24"/>
        </w:rPr>
      </w:pPr>
    </w:p>
    <w:p>
      <w:pPr>
        <w:pStyle w:val="style0"/>
        <w:tabs>
          <w:tab w:val="left" w:leader="none" w:pos="1755"/>
        </w:tabs>
        <w:spacing w:after="0" w:lineRule="auto" w:line="480"/>
        <w:rPr>
          <w:rFonts w:ascii="Times New Roman" w:cs="Times New Roman" w:hAnsi="Times New Roman"/>
          <w:b/>
          <w:sz w:val="24"/>
          <w:szCs w:val="24"/>
        </w:rPr>
      </w:pPr>
    </w:p>
    <w:p>
      <w:pPr>
        <w:pStyle w:val="style0"/>
        <w:tabs>
          <w:tab w:val="left" w:leader="none" w:pos="1755"/>
        </w:tabs>
        <w:spacing w:after="0" w:lineRule="auto" w:line="480"/>
        <w:rPr>
          <w:rFonts w:ascii="Times New Roman" w:cs="Times New Roman" w:hAnsi="Times New Roman"/>
          <w:b/>
          <w:sz w:val="24"/>
          <w:szCs w:val="24"/>
        </w:rPr>
      </w:pPr>
    </w:p>
    <w:p>
      <w:pPr>
        <w:pStyle w:val="style0"/>
        <w:tabs>
          <w:tab w:val="left" w:leader="none" w:pos="1755"/>
        </w:tabs>
        <w:spacing w:after="0" w:lineRule="auto" w:line="480"/>
        <w:rPr>
          <w:rFonts w:ascii="Times New Roman" w:cs="Times New Roman" w:hAnsi="Times New Roman"/>
          <w:b/>
          <w:sz w:val="24"/>
          <w:szCs w:val="24"/>
        </w:rPr>
      </w:pPr>
    </w:p>
    <w:p>
      <w:pPr>
        <w:pStyle w:val="style0"/>
        <w:tabs>
          <w:tab w:val="left" w:leader="none" w:pos="1755"/>
        </w:tabs>
        <w:spacing w:after="0" w:lineRule="auto" w:line="480"/>
        <w:rPr>
          <w:rFonts w:ascii="Times New Roman" w:cs="Times New Roman" w:hAnsi="Times New Roman"/>
          <w:b/>
          <w:sz w:val="24"/>
          <w:szCs w:val="24"/>
        </w:rPr>
      </w:pPr>
    </w:p>
    <w:p>
      <w:pPr>
        <w:pStyle w:val="style0"/>
        <w:tabs>
          <w:tab w:val="left" w:leader="none" w:pos="1755"/>
        </w:tabs>
        <w:spacing w:after="0" w:lineRule="auto" w:line="480"/>
        <w:rPr>
          <w:rFonts w:ascii="Times New Roman" w:cs="Times New Roman" w:hAnsi="Times New Roman"/>
          <w:b/>
          <w:sz w:val="24"/>
          <w:szCs w:val="24"/>
        </w:rPr>
      </w:pPr>
    </w:p>
    <w:p>
      <w:pPr>
        <w:pStyle w:val="style0"/>
        <w:tabs>
          <w:tab w:val="left" w:leader="none" w:pos="1755"/>
        </w:tabs>
        <w:spacing w:after="0"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Gender dysphoria </w:t>
      </w:r>
      <w:r>
        <w:rPr>
          <w:rFonts w:ascii="Times New Roman" w:cs="Times New Roman" w:hAnsi="Times New Roman"/>
          <w:sz w:val="24"/>
          <w:szCs w:val="24"/>
        </w:rPr>
        <w:t xml:space="preserve">is well known as </w:t>
      </w:r>
      <w:r>
        <w:rPr>
          <w:rFonts w:ascii="Times New Roman" w:cs="Times New Roman" w:hAnsi="Times New Roman"/>
          <w:sz w:val="24"/>
          <w:szCs w:val="24"/>
        </w:rPr>
        <w:t xml:space="preserve">a persistent and strong feeling that one has towards being identified with another gender or discomfort with one's own assigned sex and gender. </w:t>
      </w:r>
      <w:r>
        <w:rPr>
          <w:rFonts w:ascii="Times New Roman" w:cs="Times New Roman" w:hAnsi="Times New Roman"/>
          <w:sz w:val="24"/>
          <w:szCs w:val="24"/>
        </w:rPr>
        <w:t>For one to be able to qualify for a diagnosis of this disorder must have felt like significant impairment or distress.</w:t>
      </w:r>
      <w:r>
        <w:rPr>
          <w:rFonts w:ascii="Times New Roman" w:cs="Times New Roman" w:hAnsi="Times New Roman"/>
          <w:sz w:val="24"/>
          <w:szCs w:val="24"/>
        </w:rPr>
        <w:t xml:space="preserve"> </w:t>
      </w:r>
      <w:r>
        <w:rPr>
          <w:rFonts w:ascii="Times New Roman" w:cs="Times New Roman" w:hAnsi="Times New Roman"/>
          <w:sz w:val="24"/>
          <w:szCs w:val="24"/>
        </w:rPr>
        <w:t xml:space="preserve">Many individuals with gender dysphoria tend to do some manners that depict that is not comfortable with his or her gender. </w:t>
      </w:r>
      <w:r>
        <w:rPr>
          <w:rFonts w:ascii="Times New Roman" w:cs="Times New Roman" w:hAnsi="Times New Roman"/>
          <w:sz w:val="24"/>
          <w:szCs w:val="24"/>
        </w:rPr>
        <w:t xml:space="preserve">In most cases, they tend to live according to their gender identity. Usually, in this case, you will note that </w:t>
      </w:r>
      <w:r>
        <w:rPr>
          <w:rFonts w:ascii="Times New Roman" w:cs="Times New Roman" w:hAnsi="Times New Roman"/>
          <w:sz w:val="24"/>
          <w:szCs w:val="24"/>
        </w:rPr>
        <w:t xml:space="preserve">some will dress or use some mannerisms that tend to be associated with the </w:t>
      </w:r>
      <w:r>
        <w:rPr>
          <w:rFonts w:ascii="Times New Roman" w:cs="Times New Roman" w:hAnsi="Times New Roman"/>
          <w:sz w:val="24"/>
          <w:szCs w:val="24"/>
        </w:rPr>
        <w:t>gender they feel comfortable identifying with.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different ways that both gender identity feelings and issues of dysphoria </w:t>
      </w:r>
      <w:r>
        <w:rPr>
          <w:rFonts w:ascii="Times New Roman" w:cs="Times New Roman" w:hAnsi="Times New Roman"/>
          <w:sz w:val="24"/>
          <w:szCs w:val="24"/>
        </w:rPr>
        <w:t xml:space="preserve">may show up. </w:t>
      </w:r>
      <w:r>
        <w:rPr>
          <w:rFonts w:ascii="Times New Roman" w:cs="Times New Roman" w:hAnsi="Times New Roman"/>
          <w:sz w:val="24"/>
          <w:szCs w:val="24"/>
        </w:rPr>
        <w:t>For instance, you will find a person poss</w:t>
      </w:r>
      <w:r>
        <w:rPr>
          <w:rFonts w:ascii="Times New Roman" w:cs="Times New Roman" w:hAnsi="Times New Roman"/>
          <w:sz w:val="24"/>
          <w:szCs w:val="24"/>
        </w:rPr>
        <w:t>essing</w:t>
      </w:r>
      <w:r>
        <w:rPr>
          <w:rFonts w:ascii="Times New Roman" w:cs="Times New Roman" w:hAnsi="Times New Roman"/>
          <w:sz w:val="24"/>
          <w:szCs w:val="24"/>
        </w:rPr>
        <w:t xml:space="preserve"> female characteristics</w:t>
      </w:r>
      <w:r>
        <w:rPr>
          <w:rFonts w:ascii="Times New Roman" w:cs="Times New Roman" w:hAnsi="Times New Roman"/>
          <w:sz w:val="24"/>
          <w:szCs w:val="24"/>
        </w:rPr>
        <w:t xml:space="preserve"> may </w:t>
      </w:r>
      <w:r>
        <w:rPr>
          <w:rFonts w:ascii="Times New Roman" w:cs="Times New Roman" w:hAnsi="Times New Roman"/>
          <w:sz w:val="24"/>
          <w:szCs w:val="24"/>
        </w:rPr>
        <w:t>privately identify as a man, but while at the same moment, publicly continue presenting themselves as a woman</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Chen Fuqua &amp; Eugster, </w:t>
      </w:r>
      <w:r>
        <w:rPr>
          <w:rFonts w:ascii="Times New Roman" w:cs="Times New Roman" w:eastAsia="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rPr>
        <w:t>Others choose to dress clothes that are associated with the</w:t>
      </w:r>
      <w:r>
        <w:rPr>
          <w:rFonts w:ascii="Times New Roman" w:cs="Times New Roman" w:hAnsi="Times New Roman"/>
          <w:sz w:val="24"/>
          <w:szCs w:val="24"/>
        </w:rPr>
        <w:t xml:space="preserve">ir real </w:t>
      </w:r>
      <w:r>
        <w:rPr>
          <w:rFonts w:ascii="Times New Roman" w:cs="Times New Roman" w:hAnsi="Times New Roman"/>
          <w:sz w:val="24"/>
          <w:szCs w:val="24"/>
        </w:rPr>
        <w:t>gender</w:t>
      </w:r>
      <w:r>
        <w:rPr>
          <w:rFonts w:ascii="Times New Roman" w:cs="Times New Roman" w:hAnsi="Times New Roman"/>
          <w:sz w:val="24"/>
          <w:szCs w:val="24"/>
        </w:rPr>
        <w:t xml:space="preserve">. Ther are others who seek surgery or hormone treatment so as they can transition </w:t>
      </w:r>
      <w:r>
        <w:rPr>
          <w:rFonts w:ascii="Times New Roman" w:cs="Times New Roman" w:hAnsi="Times New Roman"/>
          <w:sz w:val="24"/>
          <w:szCs w:val="24"/>
        </w:rPr>
        <w:t xml:space="preserve">to living full-time as the identified gender. </w:t>
      </w:r>
      <w:r>
        <w:rPr>
          <w:rFonts w:ascii="Times New Roman" w:cs="Times New Roman" w:hAnsi="Times New Roman"/>
          <w:sz w:val="24"/>
          <w:szCs w:val="24"/>
        </w:rPr>
        <w:t>As a result of their gender identity concerns, the same people may not experience significant feelings of impairment or distress</w:t>
      </w:r>
      <w:r>
        <w:rPr>
          <w:rFonts w:ascii="Times New Roman" w:cs="Times New Roman" w:hAnsi="Times New Roman"/>
          <w:sz w:val="24"/>
          <w:szCs w:val="24"/>
        </w:rPr>
        <w:t>.</w:t>
      </w:r>
      <w:r>
        <w:rPr>
          <w:rFonts w:ascii="Times New Roman" w:cs="Times New Roman" w:hAnsi="Times New Roman"/>
          <w:sz w:val="24"/>
          <w:szCs w:val="24"/>
        </w:rPr>
        <w:t xml:space="preserve"> Aged people with gender dysphoria </w:t>
      </w:r>
      <w:r>
        <w:rPr>
          <w:rFonts w:ascii="Times New Roman" w:cs="Times New Roman" w:hAnsi="Times New Roman"/>
          <w:sz w:val="24"/>
          <w:szCs w:val="24"/>
        </w:rPr>
        <w:t xml:space="preserve">in most cases, you will note they always </w:t>
      </w:r>
      <w:r>
        <w:rPr>
          <w:rFonts w:ascii="Times New Roman" w:cs="Times New Roman" w:hAnsi="Times New Roman"/>
          <w:sz w:val="24"/>
          <w:szCs w:val="24"/>
        </w:rPr>
        <w:t xml:space="preserve">feel </w:t>
      </w:r>
      <w:r>
        <w:rPr>
          <w:rFonts w:ascii="Times New Roman" w:cs="Times New Roman" w:hAnsi="Times New Roman"/>
          <w:sz w:val="24"/>
          <w:szCs w:val="24"/>
        </w:rPr>
        <w:t xml:space="preserve">uncomfortable </w:t>
      </w:r>
      <w:r>
        <w:rPr>
          <w:rFonts w:ascii="Times New Roman" w:cs="Times New Roman" w:hAnsi="Times New Roman"/>
          <w:sz w:val="24"/>
          <w:szCs w:val="24"/>
        </w:rPr>
        <w:t xml:space="preserve">when others regard them as their assigned gender. </w:t>
      </w:r>
      <w:r>
        <w:rPr>
          <w:rFonts w:ascii="Times New Roman" w:cs="Times New Roman" w:hAnsi="Times New Roman"/>
          <w:sz w:val="24"/>
          <w:szCs w:val="24"/>
        </w:rPr>
        <w:t xml:space="preserve">Therefore, they still </w:t>
      </w:r>
      <w:r>
        <w:rPr>
          <w:rFonts w:ascii="Times New Roman" w:cs="Times New Roman" w:hAnsi="Times New Roman"/>
          <w:sz w:val="24"/>
          <w:szCs w:val="24"/>
        </w:rPr>
        <w:t>desire to get rid of the typical sex-associated characteristics.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Children, adolescent</w:t>
      </w:r>
      <w:r>
        <w:rPr>
          <w:rFonts w:ascii="Times New Roman" w:cs="Times New Roman" w:hAnsi="Times New Roman"/>
          <w:sz w:val="24"/>
          <w:szCs w:val="24"/>
        </w:rPr>
        <w:t xml:space="preserve">s, and adults </w:t>
      </w:r>
      <w:r>
        <w:rPr>
          <w:rFonts w:ascii="Times New Roman" w:cs="Times New Roman" w:hAnsi="Times New Roman"/>
          <w:sz w:val="24"/>
          <w:szCs w:val="24"/>
        </w:rPr>
        <w:t>can also have a feeling of distress and gende</w:t>
      </w:r>
      <w:r>
        <w:rPr>
          <w:rFonts w:ascii="Times New Roman" w:cs="Times New Roman" w:hAnsi="Times New Roman"/>
          <w:sz w:val="24"/>
          <w:szCs w:val="24"/>
        </w:rPr>
        <w:t>r</w:t>
      </w:r>
      <w:r>
        <w:rPr>
          <w:rFonts w:ascii="Times New Roman" w:cs="Times New Roman" w:hAnsi="Times New Roman"/>
          <w:sz w:val="24"/>
          <w:szCs w:val="24"/>
        </w:rPr>
        <w:t xml:space="preserve"> identity incongruence, which indicates the presence of gender dysphoria in children. </w:t>
      </w:r>
      <w:r>
        <w:rPr>
          <w:rFonts w:ascii="Times New Roman" w:cs="Times New Roman" w:hAnsi="Times New Roman"/>
          <w:sz w:val="24"/>
          <w:szCs w:val="24"/>
        </w:rPr>
        <w:t xml:space="preserve">However, they can as well manifest differently across age groups. </w:t>
      </w:r>
      <w:r>
        <w:rPr>
          <w:rFonts w:ascii="Times New Roman" w:cs="Times New Roman" w:hAnsi="Times New Roman"/>
          <w:sz w:val="24"/>
          <w:szCs w:val="24"/>
        </w:rPr>
        <w:t xml:space="preserve">You will find that there are some instances where a child assigned to a specific gender feels uncomfortable or grows still believing one day they will grow up to be. </w:t>
      </w:r>
      <w:r>
        <w:rPr>
          <w:rFonts w:ascii="Times New Roman" w:cs="Times New Roman" w:hAnsi="Times New Roman"/>
          <w:sz w:val="24"/>
          <w:szCs w:val="24"/>
        </w:rPr>
        <w:t xml:space="preserve">In most cases, they will tend to change hairstyles, playing toys, and clothing associated with their preferred gender. </w:t>
      </w:r>
      <w:r>
        <w:rPr>
          <w:rFonts w:ascii="Times New Roman" w:cs="Times New Roman" w:hAnsi="Times New Roman"/>
          <w:sz w:val="24"/>
          <w:szCs w:val="24"/>
        </w:rPr>
        <w:t>Besides, they are also some instance where other children will show discomfort with their physical sex characteristics.</w:t>
      </w: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Clinical presentation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Gender Dysphoria is associated with different </w:t>
      </w:r>
      <w:r>
        <w:rPr>
          <w:rFonts w:ascii="Times New Roman" w:cs="Times New Roman" w:hAnsi="Times New Roman"/>
          <w:sz w:val="24"/>
          <w:szCs w:val="24"/>
        </w:rPr>
        <w:t>symptoms that, if not well diagnosed and treated, may</w:t>
      </w:r>
      <w:r>
        <w:rPr>
          <w:rFonts w:ascii="Times New Roman" w:cs="Times New Roman" w:hAnsi="Times New Roman"/>
          <w:sz w:val="24"/>
          <w:szCs w:val="24"/>
        </w:rPr>
        <w:t xml:space="preserve"> </w:t>
      </w:r>
      <w:r>
        <w:rPr>
          <w:rFonts w:ascii="Times New Roman" w:cs="Times New Roman" w:hAnsi="Times New Roman"/>
          <w:sz w:val="24"/>
          <w:szCs w:val="24"/>
        </w:rPr>
        <w:t xml:space="preserve">resort to distress and discomfort. </w:t>
      </w:r>
      <w:r>
        <w:rPr>
          <w:rFonts w:ascii="Times New Roman" w:cs="Times New Roman" w:hAnsi="Times New Roman"/>
          <w:sz w:val="24"/>
          <w:szCs w:val="24"/>
        </w:rPr>
        <w:t xml:space="preserve">Many people with gender dysphoria find themselves in an isolated scenario if they </w:t>
      </w:r>
      <w:r>
        <w:rPr>
          <w:rFonts w:ascii="Times New Roman" w:cs="Times New Roman" w:hAnsi="Times New Roman"/>
          <w:sz w:val="24"/>
          <w:szCs w:val="24"/>
        </w:rPr>
        <w:t xml:space="preserve">have feelings of stigma and distress. </w:t>
      </w:r>
      <w:r>
        <w:rPr>
          <w:rFonts w:ascii="Times New Roman" w:cs="Times New Roman" w:hAnsi="Times New Roman"/>
          <w:sz w:val="24"/>
          <w:szCs w:val="24"/>
        </w:rPr>
        <w:t>They can be either isolated through ostracism or by choice</w:t>
      </w:r>
      <w:r>
        <w:rPr>
          <w:rFonts w:ascii="Times New Roman" w:cs="Times New Roman" w:hAnsi="Times New Roman"/>
          <w:sz w:val="24"/>
          <w:szCs w:val="24"/>
        </w:rPr>
        <w:t>. In this case, it can lead to dropping school or school aversion and contribute low self-esteem.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 are some instances of gender dysphoria</w:t>
      </w:r>
      <w:r>
        <w:rPr>
          <w:rFonts w:ascii="Times New Roman" w:cs="Times New Roman" w:hAnsi="Times New Roman"/>
          <w:sz w:val="24"/>
          <w:szCs w:val="24"/>
        </w:rPr>
        <w:t xml:space="preserve"> that can lead to pervasive disturbance </w:t>
      </w:r>
      <w:r>
        <w:rPr>
          <w:rFonts w:ascii="Times New Roman" w:cs="Times New Roman" w:hAnsi="Times New Roman"/>
          <w:sz w:val="24"/>
          <w:szCs w:val="24"/>
        </w:rPr>
        <w:t>hence making the person to revolve around those activities lessening distress that is gender-related</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Ristori &amp; Steensma, </w:t>
      </w:r>
      <w:r>
        <w:rPr>
          <w:rFonts w:ascii="Times New Roman" w:cs="Times New Roman" w:eastAsia="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rPr>
        <w:t xml:space="preserve">You will find that in most cases, this kind of individual is </w:t>
      </w:r>
      <w:r>
        <w:rPr>
          <w:rFonts w:ascii="Times New Roman" w:cs="Times New Roman" w:hAnsi="Times New Roman"/>
          <w:sz w:val="24"/>
          <w:szCs w:val="24"/>
        </w:rPr>
        <w:t xml:space="preserve">preoccupied with their appearance. </w:t>
      </w:r>
      <w:r>
        <w:rPr>
          <w:rFonts w:ascii="Times New Roman" w:cs="Times New Roman" w:hAnsi="Times New Roman"/>
          <w:sz w:val="24"/>
          <w:szCs w:val="24"/>
        </w:rPr>
        <w:t xml:space="preserve">It goes to the extent whereby their relationship with family members </w:t>
      </w:r>
      <w:r>
        <w:rPr>
          <w:rFonts w:ascii="Times New Roman" w:cs="Times New Roman" w:hAnsi="Times New Roman"/>
          <w:sz w:val="24"/>
          <w:szCs w:val="24"/>
        </w:rPr>
        <w:t xml:space="preserve">becomes severely impaired. </w:t>
      </w:r>
      <w:r>
        <w:rPr>
          <w:rFonts w:ascii="Times New Roman" w:cs="Times New Roman" w:hAnsi="Times New Roman"/>
          <w:sz w:val="24"/>
          <w:szCs w:val="24"/>
        </w:rPr>
        <w:t>This may happen in some instances whereby the family members hold and view them as not essential people by showing stigmatizing or negative views concerning gender or transgender non-conforming individuals.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Suicide attempts, suicidal ideation, and disorders related to substance use happen to be common disorders that ar</w:t>
      </w:r>
      <w:r>
        <w:rPr>
          <w:rFonts w:ascii="Times New Roman" w:cs="Times New Roman" w:hAnsi="Times New Roman"/>
          <w:sz w:val="24"/>
          <w:szCs w:val="24"/>
        </w:rPr>
        <w:t xml:space="preserve">e common among individuals experiencing gender dysphoria. </w:t>
      </w:r>
      <w:r>
        <w:rPr>
          <w:rFonts w:ascii="Times New Roman" w:cs="Times New Roman" w:hAnsi="Times New Roman"/>
          <w:sz w:val="24"/>
          <w:szCs w:val="24"/>
        </w:rPr>
        <w:t>Suicide risk persists or dissipates after the occurrence of gender transitio</w:t>
      </w:r>
      <w:r>
        <w:rPr>
          <w:rFonts w:ascii="Times New Roman" w:cs="Times New Roman" w:hAnsi="Times New Roman"/>
          <w:sz w:val="24"/>
          <w:szCs w:val="24"/>
        </w:rPr>
        <w:t>n, depending on the individual adjustments</w:t>
      </w:r>
      <w:r>
        <w:rPr>
          <w:rFonts w:ascii="Times New Roman" w:cs="Times New Roman" w:hAnsi="Times New Roman"/>
          <w:sz w:val="24"/>
          <w:szCs w:val="24"/>
        </w:rPr>
        <w:t xml:space="preserve"> (</w:t>
      </w:r>
      <w:r>
        <w:rPr>
          <w:rFonts w:ascii="Times New Roman" w:cs="Times New Roman" w:eastAsia="Times New Roman" w:hAnsi="Times New Roman"/>
          <w:sz w:val="24"/>
          <w:szCs w:val="24"/>
        </w:rPr>
        <w:t>Aitken et al. 2015)</w:t>
      </w:r>
      <w:r>
        <w:rPr>
          <w:rFonts w:ascii="Times New Roman" w:cs="Times New Roman" w:hAnsi="Times New Roman"/>
          <w:sz w:val="24"/>
          <w:szCs w:val="24"/>
        </w:rPr>
        <w:t xml:space="preserve">. </w:t>
      </w:r>
      <w:r>
        <w:rPr>
          <w:rFonts w:ascii="Times New Roman" w:cs="Times New Roman" w:hAnsi="Times New Roman"/>
          <w:sz w:val="24"/>
          <w:szCs w:val="24"/>
        </w:rPr>
        <w:t xml:space="preserve">Many kids with gender dysphoria, </w:t>
      </w:r>
      <w:r>
        <w:rPr>
          <w:rFonts w:ascii="Times New Roman" w:cs="Times New Roman" w:hAnsi="Times New Roman"/>
          <w:sz w:val="24"/>
          <w:szCs w:val="24"/>
        </w:rPr>
        <w:t xml:space="preserve">in most cases, find themselves manifesting co-existing separation anxiety disorder, depression symptoms, and generalized anxiety disorder. </w:t>
      </w:r>
      <w:r>
        <w:rPr>
          <w:rFonts w:ascii="Times New Roman" w:cs="Times New Roman" w:hAnsi="Times New Roman"/>
          <w:sz w:val="24"/>
          <w:szCs w:val="24"/>
        </w:rPr>
        <w:t>On the other side, Adults on their side experience depressive and anxiety symptoms.</w:t>
      </w: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Diagnostic criteria from the DSM-</w:t>
      </w:r>
      <w:r>
        <w:rPr>
          <w:rFonts w:ascii="Times New Roman" w:cs="Times New Roman" w:hAnsi="Times New Roman"/>
          <w:b/>
          <w:sz w:val="24"/>
          <w:szCs w:val="24"/>
        </w:rPr>
        <w:t>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Across many countries and cultures have gender dysphoria cases have been reported</w:t>
      </w:r>
      <w:r>
        <w:rPr>
          <w:rFonts w:ascii="Times New Roman" w:cs="Times New Roman" w:hAnsi="Times New Roman"/>
          <w:sz w:val="24"/>
          <w:szCs w:val="24"/>
        </w:rPr>
        <w:t xml:space="preserve">. There are also incongruences between gender and sex that already have existed for a thousand years in human society. </w:t>
      </w:r>
      <w:r>
        <w:rPr>
          <w:rFonts w:ascii="Times New Roman" w:cs="Times New Roman" w:hAnsi="Times New Roman"/>
          <w:sz w:val="24"/>
          <w:szCs w:val="24"/>
        </w:rPr>
        <w:t xml:space="preserve">According to the DSM-5, </w:t>
      </w:r>
      <w:r>
        <w:rPr>
          <w:rFonts w:ascii="Times New Roman" w:cs="Times New Roman" w:hAnsi="Times New Roman"/>
          <w:sz w:val="24"/>
          <w:szCs w:val="24"/>
        </w:rPr>
        <w:t xml:space="preserve">it is approximately 0.0005 percent to 0.014 percent </w:t>
      </w:r>
      <w:r>
        <w:rPr>
          <w:rFonts w:ascii="Times New Roman" w:cs="Times New Roman" w:hAnsi="Times New Roman"/>
          <w:sz w:val="24"/>
          <w:szCs w:val="24"/>
        </w:rPr>
        <w:t xml:space="preserve">among those individuals assigned male at birth later diagnosed with gender dysphoria. </w:t>
      </w:r>
      <w:r>
        <w:rPr>
          <w:rFonts w:ascii="Times New Roman" w:cs="Times New Roman" w:hAnsi="Times New Roman"/>
          <w:sz w:val="24"/>
          <w:szCs w:val="24"/>
        </w:rPr>
        <w:t xml:space="preserve">It is approximately 0.002 percent to 0.003 percent </w:t>
      </w:r>
      <w:r>
        <w:rPr>
          <w:rFonts w:ascii="Times New Roman" w:cs="Times New Roman" w:hAnsi="Times New Roman"/>
          <w:sz w:val="24"/>
          <w:szCs w:val="24"/>
        </w:rPr>
        <w:t xml:space="preserve">of those assigned female at birth </w:t>
      </w:r>
      <w:r>
        <w:rPr>
          <w:rFonts w:ascii="Times New Roman" w:cs="Times New Roman" w:hAnsi="Times New Roman"/>
          <w:sz w:val="24"/>
          <w:szCs w:val="24"/>
        </w:rPr>
        <w:t>later diagnoses with gender dysphoria</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Heylens, Holst, </w:t>
      </w:r>
      <w:r>
        <w:rPr>
          <w:rFonts w:ascii="Times New Roman" w:cs="Times New Roman" w:eastAsia="Times New Roman" w:hAnsi="Times New Roman"/>
          <w:sz w:val="24"/>
          <w:szCs w:val="24"/>
        </w:rPr>
        <w:t>Melleman</w:t>
      </w:r>
      <w:r>
        <w:rPr>
          <w:rFonts w:ascii="Times New Roman" w:cs="Times New Roman" w:eastAsia="Times New Roman" w:hAnsi="Times New Roman"/>
          <w:sz w:val="24"/>
          <w:szCs w:val="24"/>
        </w:rPr>
        <w:t xml:space="preserve">s, Elaut &amp; Dhondt, </w:t>
      </w:r>
      <w:r>
        <w:rPr>
          <w:rFonts w:ascii="Times New Roman" w:cs="Times New Roman" w:eastAsia="Times New Roman" w:hAnsi="Times New Roman"/>
          <w:sz w:val="24"/>
          <w:szCs w:val="24"/>
        </w:rPr>
        <w:t>2019)</w:t>
      </w:r>
      <w:r>
        <w:rPr>
          <w:rFonts w:ascii="Times New Roman" w:cs="Times New Roman" w:hAnsi="Times New Roman"/>
          <w:sz w:val="24"/>
          <w:szCs w:val="24"/>
        </w:rPr>
        <w:t xml:space="preserve">. </w:t>
      </w:r>
      <w:r>
        <w:rPr>
          <w:rFonts w:ascii="Times New Roman" w:cs="Times New Roman" w:hAnsi="Times New Roman"/>
          <w:sz w:val="24"/>
          <w:szCs w:val="24"/>
        </w:rPr>
        <w:t xml:space="preserve">However, these rates happen that they are based on a </w:t>
      </w:r>
      <w:r>
        <w:rPr>
          <w:rFonts w:ascii="Times New Roman" w:cs="Times New Roman" w:hAnsi="Times New Roman"/>
          <w:sz w:val="24"/>
          <w:szCs w:val="24"/>
        </w:rPr>
        <w:t xml:space="preserve">number of individuals </w:t>
      </w:r>
      <w:r>
        <w:rPr>
          <w:rFonts w:ascii="Times New Roman" w:cs="Times New Roman" w:hAnsi="Times New Roman"/>
          <w:sz w:val="24"/>
          <w:szCs w:val="24"/>
        </w:rPr>
        <w:t>seeking formal treatment</w:t>
      </w:r>
      <w:r>
        <w:rPr>
          <w:rFonts w:ascii="Times New Roman" w:cs="Times New Roman" w:hAnsi="Times New Roman"/>
          <w:sz w:val="24"/>
          <w:szCs w:val="24"/>
        </w:rPr>
        <w:t xml:space="preserve"> that includes surgical reassignment </w:t>
      </w:r>
      <w:r>
        <w:rPr>
          <w:rFonts w:ascii="Times New Roman" w:cs="Times New Roman" w:hAnsi="Times New Roman"/>
          <w:sz w:val="24"/>
          <w:szCs w:val="24"/>
        </w:rPr>
        <w:t xml:space="preserve">and </w:t>
      </w:r>
      <w:r>
        <w:rPr>
          <w:rFonts w:ascii="Times New Roman" w:cs="Times New Roman" w:hAnsi="Times New Roman"/>
          <w:sz w:val="24"/>
          <w:szCs w:val="24"/>
        </w:rPr>
        <w:t>hormone therapy</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distress level </w:t>
      </w:r>
      <w:r>
        <w:rPr>
          <w:rFonts w:ascii="Times New Roman" w:cs="Times New Roman" w:hAnsi="Times New Roman"/>
          <w:sz w:val="24"/>
          <w:szCs w:val="24"/>
        </w:rPr>
        <w:t xml:space="preserve">that one with gender dysphoria </w:t>
      </w:r>
      <w:r>
        <w:rPr>
          <w:rFonts w:ascii="Times New Roman" w:cs="Times New Roman" w:hAnsi="Times New Roman"/>
          <w:sz w:val="24"/>
          <w:szCs w:val="24"/>
        </w:rPr>
        <w:t xml:space="preserve">experiences </w:t>
      </w:r>
      <w:r>
        <w:rPr>
          <w:rFonts w:ascii="Times New Roman" w:cs="Times New Roman" w:hAnsi="Times New Roman"/>
          <w:sz w:val="24"/>
          <w:szCs w:val="24"/>
        </w:rPr>
        <w:t xml:space="preserve">is essential, and in most cases, many individuals do better </w:t>
      </w:r>
      <w:r>
        <w:rPr>
          <w:rFonts w:ascii="Times New Roman" w:cs="Times New Roman" w:hAnsi="Times New Roman"/>
          <w:sz w:val="24"/>
          <w:szCs w:val="24"/>
        </w:rPr>
        <w:t>when they happen in a conducive and supportive environment.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DSM-5, in different age groups, gender dysphoria looks different. </w:t>
      </w:r>
      <w:r>
        <w:rPr>
          <w:rFonts w:ascii="Times New Roman" w:cs="Times New Roman" w:hAnsi="Times New Roman"/>
          <w:sz w:val="24"/>
          <w:szCs w:val="24"/>
        </w:rPr>
        <w:t xml:space="preserve">DSM-5 shows </w:t>
      </w:r>
      <w:r>
        <w:rPr>
          <w:rFonts w:ascii="Times New Roman" w:cs="Times New Roman" w:hAnsi="Times New Roman"/>
          <w:sz w:val="24"/>
          <w:szCs w:val="24"/>
        </w:rPr>
        <w:t>some of the symptoms to consider before a diagnosis of gender dysphoria in adults, children, and adolescents.</w:t>
      </w:r>
      <w:r>
        <w:rPr>
          <w:rFonts w:ascii="Times New Roman" w:cs="Times New Roman" w:hAnsi="Times New Roman"/>
          <w:sz w:val="24"/>
          <w:szCs w:val="24"/>
        </w:rPr>
        <w:t xml:space="preserve"> The symptoms are as follows: </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b/>
          <w:sz w:val="24"/>
          <w:szCs w:val="24"/>
        </w:rPr>
      </w:pPr>
      <w:r>
        <w:rPr>
          <w:rFonts w:ascii="Times New Roman" w:cs="Times New Roman" w:hAnsi="Times New Roman"/>
          <w:b/>
          <w:sz w:val="24"/>
          <w:szCs w:val="24"/>
        </w:rPr>
        <w:t>Children</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Presence of incongruence for more than six months </w:t>
      </w:r>
      <w:r>
        <w:rPr>
          <w:rFonts w:ascii="Times New Roman" w:cs="Times New Roman" w:hAnsi="Times New Roman"/>
          <w:sz w:val="24"/>
          <w:szCs w:val="24"/>
        </w:rPr>
        <w:t>between the kid's experienced gender and the assigned gender at birth.</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desire to be of the other </w:t>
      </w:r>
      <w:r>
        <w:rPr>
          <w:rFonts w:ascii="Times New Roman" w:cs="Times New Roman" w:hAnsi="Times New Roman"/>
          <w:sz w:val="24"/>
          <w:szCs w:val="24"/>
        </w:rPr>
        <w:t>identity gender becomes strong.</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 strong preference among boys to wear female clothes rejecting traditional masculine clothing.</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 strong preference among girls to wear male clothes rejecting traditional feminine clothing.</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Cross-gender strong preference rol</w:t>
      </w:r>
      <w:r>
        <w:rPr>
          <w:rFonts w:ascii="Times New Roman" w:cs="Times New Roman" w:hAnsi="Times New Roman"/>
          <w:sz w:val="24"/>
          <w:szCs w:val="24"/>
        </w:rPr>
        <w:t>es in the fantasy of make-believe play.</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Disliking one’s sexual anatomy strongly.</w:t>
      </w:r>
    </w:p>
    <w:p>
      <w:pPr>
        <w:pStyle w:val="style179"/>
        <w:numPr>
          <w:ilvl w:val="0"/>
          <w:numId w:val="1"/>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Boys consider playing with toys for girls, while girls consider toys for boys.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 dia</w:t>
      </w:r>
      <w:r>
        <w:rPr>
          <w:rFonts w:ascii="Times New Roman" w:cs="Times New Roman" w:hAnsi="Times New Roman"/>
          <w:sz w:val="24"/>
          <w:szCs w:val="24"/>
        </w:rPr>
        <w:t>g</w:t>
      </w:r>
      <w:r>
        <w:rPr>
          <w:rFonts w:ascii="Times New Roman" w:cs="Times New Roman" w:hAnsi="Times New Roman"/>
          <w:sz w:val="24"/>
          <w:szCs w:val="24"/>
        </w:rPr>
        <w:t xml:space="preserve">nosis of gender dysphoria should be made in case six out of the above symptoms among children are present. </w:t>
      </w:r>
      <w:r>
        <w:rPr>
          <w:rFonts w:ascii="Times New Roman" w:cs="Times New Roman" w:hAnsi="Times New Roman"/>
          <w:sz w:val="24"/>
          <w:szCs w:val="24"/>
        </w:rPr>
        <w:t xml:space="preserve">However, diagnosis may be given if it includes </w:t>
      </w:r>
      <w:r>
        <w:rPr>
          <w:rFonts w:ascii="Times New Roman" w:cs="Times New Roman" w:hAnsi="Times New Roman"/>
          <w:sz w:val="24"/>
          <w:szCs w:val="24"/>
        </w:rPr>
        <w:t>impairment or distress that is clinically significant in central areas of functioning like home life, school life, or social relationship life.</w:t>
      </w:r>
    </w:p>
    <w:p>
      <w:pPr>
        <w:pStyle w:val="style0"/>
        <w:spacing w:after="0" w:lineRule="auto" w:line="480"/>
        <w:ind w:firstLine="720"/>
        <w:rPr>
          <w:rFonts w:ascii="Times New Roman" w:cs="Times New Roman" w:hAnsi="Times New Roman"/>
          <w:b/>
          <w:sz w:val="24"/>
          <w:szCs w:val="24"/>
        </w:rPr>
      </w:pPr>
      <w:r>
        <w:rPr>
          <w:rFonts w:ascii="Times New Roman" w:cs="Times New Roman" w:hAnsi="Times New Roman"/>
          <w:b/>
          <w:sz w:val="24"/>
          <w:szCs w:val="24"/>
        </w:rPr>
        <w:t>Adults and adolescents</w:t>
      </w:r>
    </w:p>
    <w:p>
      <w:pPr>
        <w:pStyle w:val="style179"/>
        <w:numPr>
          <w:ilvl w:val="0"/>
          <w:numId w:val="6"/>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Having that strong desire to be of the opposite sex through changing sex organs. </w:t>
      </w:r>
    </w:p>
    <w:p>
      <w:pPr>
        <w:pStyle w:val="style179"/>
        <w:numPr>
          <w:ilvl w:val="0"/>
          <w:numId w:val="6"/>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Strongly possessing typical reactions and feelings of alternative gender and another gender.</w:t>
      </w:r>
    </w:p>
    <w:p>
      <w:pPr>
        <w:pStyle w:val="style179"/>
        <w:numPr>
          <w:ilvl w:val="0"/>
          <w:numId w:val="6"/>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Strongly possess</w:t>
      </w:r>
      <w:r>
        <w:rPr>
          <w:rFonts w:ascii="Times New Roman" w:cs="Times New Roman" w:hAnsi="Times New Roman"/>
          <w:sz w:val="24"/>
          <w:szCs w:val="24"/>
        </w:rPr>
        <w:t>ed such that you want to be of the other gender.</w:t>
      </w:r>
    </w:p>
    <w:p>
      <w:pPr>
        <w:pStyle w:val="style179"/>
        <w:numPr>
          <w:ilvl w:val="0"/>
          <w:numId w:val="6"/>
        </w:numPr>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Strongly desiring to be treated as the opposite gender.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this case, the diagnosis of gender dysphoria will take place if at least two of the above symptoms </w:t>
      </w:r>
      <w:r>
        <w:rPr>
          <w:rFonts w:ascii="Times New Roman" w:cs="Times New Roman" w:hAnsi="Times New Roman"/>
          <w:sz w:val="24"/>
          <w:szCs w:val="24"/>
        </w:rPr>
        <w:t>evolve</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Zucker, Lawrence, &amp; Kreukels, </w:t>
      </w:r>
      <w:r>
        <w:rPr>
          <w:rFonts w:ascii="Times New Roman" w:cs="Times New Roman" w:eastAsia="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rPr>
        <w:t xml:space="preserve">It can be given if it has the following: </w:t>
      </w:r>
      <w:r>
        <w:rPr>
          <w:rFonts w:ascii="Times New Roman" w:cs="Times New Roman" w:hAnsi="Times New Roman"/>
          <w:sz w:val="24"/>
          <w:szCs w:val="24"/>
        </w:rPr>
        <w:t xml:space="preserve">impairment or distress that </w:t>
      </w:r>
      <w:r>
        <w:rPr>
          <w:rFonts w:ascii="Times New Roman" w:cs="Times New Roman" w:hAnsi="Times New Roman"/>
          <w:sz w:val="24"/>
          <w:szCs w:val="24"/>
        </w:rPr>
        <w:t>is significantly clinical in central areas of functioning like home life, school, and social relationships.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it is crucial to consider that cross-gender, in most cases, happen as </w:t>
      </w:r>
      <w:r>
        <w:rPr>
          <w:rFonts w:ascii="Times New Roman" w:cs="Times New Roman" w:hAnsi="Times New Roman"/>
          <w:sz w:val="24"/>
          <w:szCs w:val="24"/>
        </w:rPr>
        <w:t xml:space="preserve">early as two years old. </w:t>
      </w:r>
      <w:r>
        <w:rPr>
          <w:rFonts w:ascii="Times New Roman" w:cs="Times New Roman" w:hAnsi="Times New Roman"/>
          <w:sz w:val="24"/>
          <w:szCs w:val="24"/>
        </w:rPr>
        <w:t xml:space="preserve">This is the period when the developmental period starts; </w:t>
      </w:r>
      <w:r>
        <w:rPr>
          <w:rFonts w:ascii="Times New Roman" w:cs="Times New Roman" w:hAnsi="Times New Roman"/>
          <w:sz w:val="24"/>
          <w:szCs w:val="24"/>
        </w:rPr>
        <w:t xml:space="preserve">hence, at this level, children begin expressing gendered interests and behaviors. </w:t>
      </w:r>
      <w:r>
        <w:rPr>
          <w:rFonts w:ascii="Times New Roman" w:cs="Times New Roman" w:hAnsi="Times New Roman"/>
          <w:sz w:val="24"/>
          <w:szCs w:val="24"/>
        </w:rPr>
        <w:t xml:space="preserve">Mostly it is during </w:t>
      </w:r>
      <w:r>
        <w:rPr>
          <w:rFonts w:ascii="Times New Roman" w:cs="Times New Roman" w:hAnsi="Times New Roman"/>
          <w:sz w:val="24"/>
          <w:szCs w:val="24"/>
        </w:rPr>
        <w:t xml:space="preserve">childhood when </w:t>
      </w:r>
      <w:r>
        <w:rPr>
          <w:rFonts w:ascii="Times New Roman" w:cs="Times New Roman" w:hAnsi="Times New Roman"/>
          <w:sz w:val="24"/>
          <w:szCs w:val="24"/>
        </w:rPr>
        <w:t>early-onset gender</w:t>
      </w:r>
      <w:r>
        <w:rPr>
          <w:rFonts w:ascii="Times New Roman" w:cs="Times New Roman" w:hAnsi="Times New Roman"/>
          <w:sz w:val="24"/>
          <w:szCs w:val="24"/>
        </w:rPr>
        <w:t xml:space="preserve"> starts and continues into adulthood and adolescence. </w:t>
      </w:r>
      <w:r>
        <w:rPr>
          <w:rFonts w:ascii="Times New Roman" w:cs="Times New Roman" w:hAnsi="Times New Roman"/>
          <w:sz w:val="24"/>
          <w:szCs w:val="24"/>
        </w:rPr>
        <w:t xml:space="preserve">On the other hand, it is during puberty when </w:t>
      </w:r>
      <w:r>
        <w:rPr>
          <w:rFonts w:ascii="Times New Roman" w:cs="Times New Roman" w:hAnsi="Times New Roman"/>
          <w:sz w:val="24"/>
          <w:szCs w:val="24"/>
        </w:rPr>
        <w:t>late gender dysphoria occurs</w:t>
      </w:r>
      <w:r>
        <w:rPr>
          <w:rFonts w:ascii="Times New Roman" w:cs="Times New Roman" w:hAnsi="Times New Roman"/>
          <w:sz w:val="24"/>
          <w:szCs w:val="24"/>
        </w:rPr>
        <w:t xml:space="preserve">. </w:t>
      </w: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Prevalence and</w:t>
      </w:r>
      <w:r>
        <w:rPr>
          <w:rFonts w:ascii="Times New Roman" w:cs="Times New Roman" w:hAnsi="Times New Roman"/>
          <w:b/>
          <w:sz w:val="24"/>
          <w:szCs w:val="24"/>
        </w:rPr>
        <w:t xml:space="preserve"> </w:t>
      </w:r>
      <w:r>
        <w:rPr>
          <w:rFonts w:ascii="Times New Roman" w:cs="Times New Roman" w:hAnsi="Times New Roman"/>
          <w:b/>
          <w:sz w:val="24"/>
          <w:szCs w:val="24"/>
        </w:rPr>
        <w:t>incidence rates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According to the DSM-5, it is approximately 0.0005 percent to 0.014 percent among those individuals assigned male at birth later diagnosed with gender dysphoria. It is approximately 0.002 percent to 0.003 percent of those assigned female at birth later dia</w:t>
      </w:r>
      <w:r>
        <w:rPr>
          <w:rFonts w:ascii="Times New Roman" w:cs="Times New Roman" w:hAnsi="Times New Roman"/>
          <w:sz w:val="24"/>
          <w:szCs w:val="24"/>
        </w:rPr>
        <w:t xml:space="preserve">gnosed with gender dysphoria. However, these rates happen that they are based on a number of individuals seeking formal treatment that includes surgical reassignment and hormone therapy. </w:t>
      </w:r>
      <w:r>
        <w:rPr>
          <w:rFonts w:ascii="Times New Roman" w:cs="Times New Roman" w:hAnsi="Times New Roman"/>
          <w:sz w:val="24"/>
          <w:szCs w:val="24"/>
        </w:rPr>
        <w:t xml:space="preserve">It is between the age of 2 and 4 when the characteristics of gender dysphoria's interests and activities start to show up among children. You will note that it only a small number of children with gender dysphoria that continues in later adulthood or adolescence, showing symptoms. </w:t>
      </w:r>
      <w:r>
        <w:rPr>
          <w:rFonts w:ascii="Times New Roman" w:cs="Times New Roman" w:hAnsi="Times New Roman"/>
          <w:sz w:val="24"/>
          <w:szCs w:val="24"/>
        </w:rPr>
        <w:t>The code of ethics is like the bible for counselors, and we need to depend on it in our decision making when helping clients.</w:t>
      </w:r>
      <w:r>
        <w:rPr>
          <w:rFonts w:ascii="Times New Roman" w:cs="Times New Roman" w:eastAsia="宋体" w:hAnsi="Times New Roman"/>
          <w:kern w:val="24"/>
          <w:sz w:val="24"/>
          <w:szCs w:val="24"/>
        </w:rPr>
        <w:t xml:space="preserve"> Ethical and legal considerations will guide Sarah's counseling process. First Informed Consent prior to the start of the counseling relationship and throughout the counseling process would be necessary. </w:t>
      </w:r>
      <w:r>
        <w:rPr>
          <w:rFonts w:ascii="Times New Roman" w:cs="Times New Roman" w:hAnsi="Times New Roman"/>
          <w:sz w:val="24"/>
          <w:szCs w:val="24"/>
          <w:shd w:val="clear" w:color="auto" w:fill="ffffff"/>
        </w:rPr>
        <w:t xml:space="preserve">Clients have the freedom to choose whether to enter into or remain in a counseling relationship and need adequate information about the counseling process and the counselor. </w:t>
      </w: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Theoretical perspectives on the causes of the disor</w:t>
      </w:r>
      <w:r>
        <w:rPr>
          <w:rFonts w:ascii="Times New Roman" w:cs="Times New Roman" w:hAnsi="Times New Roman"/>
          <w:b/>
          <w:sz w:val="24"/>
          <w:szCs w:val="24"/>
        </w:rPr>
        <w:t>der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Theoretically, gender dysphoria is caused by </w:t>
      </w:r>
      <w:r>
        <w:rPr>
          <w:rFonts w:ascii="Times New Roman" w:cs="Times New Roman" w:hAnsi="Times New Roman"/>
          <w:sz w:val="24"/>
          <w:szCs w:val="24"/>
        </w:rPr>
        <w:t xml:space="preserve">environmental factors, </w:t>
      </w:r>
      <w:r>
        <w:rPr>
          <w:rFonts w:ascii="Times New Roman" w:cs="Times New Roman" w:hAnsi="Times New Roman"/>
          <w:sz w:val="24"/>
          <w:szCs w:val="24"/>
        </w:rPr>
        <w:t xml:space="preserve">hormonal influences in the womb, and genes. </w:t>
      </w:r>
      <w:r>
        <w:rPr>
          <w:rFonts w:ascii="Times New Roman" w:cs="Times New Roman" w:hAnsi="Times New Roman"/>
          <w:sz w:val="24"/>
          <w:szCs w:val="24"/>
        </w:rPr>
        <w:t>It is between the age of 2 and 4 when the characteristics of gender dysphoria's interests and</w:t>
      </w:r>
      <w:r>
        <w:rPr>
          <w:rFonts w:ascii="Times New Roman" w:cs="Times New Roman" w:hAnsi="Times New Roman"/>
          <w:sz w:val="24"/>
          <w:szCs w:val="24"/>
        </w:rPr>
        <w:t xml:space="preserve"> </w:t>
      </w:r>
      <w:r>
        <w:rPr>
          <w:rFonts w:ascii="Times New Roman" w:cs="Times New Roman" w:hAnsi="Times New Roman"/>
          <w:sz w:val="24"/>
          <w:szCs w:val="24"/>
        </w:rPr>
        <w:t xml:space="preserve">activities start to show up among children. </w:t>
      </w:r>
      <w:r>
        <w:rPr>
          <w:rFonts w:ascii="Times New Roman" w:cs="Times New Roman" w:hAnsi="Times New Roman"/>
          <w:sz w:val="24"/>
          <w:szCs w:val="24"/>
        </w:rPr>
        <w:t xml:space="preserve">You will note that it only a small number of children with gender dysphoria </w:t>
      </w:r>
      <w:r>
        <w:rPr>
          <w:rFonts w:ascii="Times New Roman" w:cs="Times New Roman" w:hAnsi="Times New Roman"/>
          <w:sz w:val="24"/>
          <w:szCs w:val="24"/>
        </w:rPr>
        <w:t>that continues in later adulthood or adolescence, showing symptoms.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Two c</w:t>
      </w:r>
      <w:r>
        <w:rPr>
          <w:rFonts w:ascii="Times New Roman" w:cs="Times New Roman" w:hAnsi="Times New Roman"/>
          <w:sz w:val="24"/>
          <w:szCs w:val="24"/>
        </w:rPr>
        <w:t>ourses</w:t>
      </w:r>
      <w:r>
        <w:rPr>
          <w:rFonts w:ascii="Times New Roman" w:cs="Times New Roman" w:hAnsi="Times New Roman"/>
          <w:sz w:val="24"/>
          <w:szCs w:val="24"/>
        </w:rPr>
        <w:t xml:space="preserve"> are common in nature, leading to the development of gender dysphoria. </w:t>
      </w:r>
      <w:r>
        <w:rPr>
          <w:rFonts w:ascii="Times New Roman" w:cs="Times New Roman" w:hAnsi="Times New Roman"/>
          <w:sz w:val="24"/>
          <w:szCs w:val="24"/>
        </w:rPr>
        <w:t xml:space="preserve">They are as follows: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 contin</w:t>
      </w:r>
      <w:r>
        <w:rPr>
          <w:rFonts w:ascii="Times New Roman" w:cs="Times New Roman" w:hAnsi="Times New Roman"/>
          <w:sz w:val="24"/>
          <w:szCs w:val="24"/>
        </w:rPr>
        <w:t xml:space="preserve">uation of gender dysphoria at later stages </w:t>
      </w:r>
      <w:r>
        <w:rPr>
          <w:rFonts w:ascii="Times New Roman" w:cs="Times New Roman" w:hAnsi="Times New Roman"/>
          <w:sz w:val="24"/>
          <w:szCs w:val="24"/>
        </w:rPr>
        <w:t>of adolescence or adulthood</w:t>
      </w:r>
      <w:r>
        <w:rPr>
          <w:rFonts w:ascii="Times New Roman" w:cs="Times New Roman" w:hAnsi="Times New Roman"/>
          <w:sz w:val="24"/>
          <w:szCs w:val="24"/>
        </w:rPr>
        <w:t>. If it continues to be worse, it means that gender dysphoria is severe.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When </w:t>
      </w:r>
      <w:r>
        <w:rPr>
          <w:rFonts w:ascii="Times New Roman" w:cs="Times New Roman" w:hAnsi="Times New Roman"/>
          <w:sz w:val="24"/>
          <w:szCs w:val="24"/>
        </w:rPr>
        <w:t xml:space="preserve">overt signs of </w:t>
      </w:r>
      <w:r>
        <w:rPr>
          <w:rFonts w:ascii="Times New Roman" w:cs="Times New Roman" w:hAnsi="Times New Roman"/>
          <w:sz w:val="24"/>
          <w:szCs w:val="24"/>
        </w:rPr>
        <w:t>cross</w:t>
      </w:r>
      <w:r>
        <w:rPr>
          <w:rFonts w:ascii="Times New Roman" w:cs="Times New Roman" w:hAnsi="Times New Roman"/>
          <w:sz w:val="24"/>
          <w:szCs w:val="24"/>
        </w:rPr>
        <w:t>-</w:t>
      </w:r>
      <w:r>
        <w:rPr>
          <w:rFonts w:ascii="Times New Roman" w:cs="Times New Roman" w:hAnsi="Times New Roman"/>
          <w:sz w:val="24"/>
          <w:szCs w:val="24"/>
        </w:rPr>
        <w:t>gender identification</w:t>
      </w:r>
      <w:r>
        <w:rPr>
          <w:rFonts w:ascii="Times New Roman" w:cs="Times New Roman" w:hAnsi="Times New Roman"/>
          <w:sz w:val="24"/>
          <w:szCs w:val="24"/>
        </w:rPr>
        <w:t xml:space="preserve"> become more and gradual at late stages.  </w:t>
      </w: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 xml:space="preserve">Treatment approaches </w:t>
      </w:r>
      <w:r>
        <w:rPr>
          <w:rFonts w:ascii="Times New Roman" w:cs="Times New Roman" w:hAnsi="Times New Roman"/>
          <w:b/>
          <w:sz w:val="24"/>
          <w:szCs w:val="24"/>
        </w:rPr>
        <w:t>and outcome studies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is recommended to have family and individual counseling for children with this kind of disorder. </w:t>
      </w:r>
      <w:r>
        <w:rPr>
          <w:rFonts w:ascii="Times New Roman" w:cs="Times New Roman" w:hAnsi="Times New Roman"/>
          <w:sz w:val="24"/>
          <w:szCs w:val="24"/>
        </w:rPr>
        <w:t>Otherwise, it is recommended t</w:t>
      </w:r>
      <w:r>
        <w:rPr>
          <w:rFonts w:ascii="Times New Roman" w:cs="Times New Roman" w:hAnsi="Times New Roman"/>
          <w:sz w:val="24"/>
          <w:szCs w:val="24"/>
        </w:rPr>
        <w:t xml:space="preserve">o have a couple or individual therapy for adults. </w:t>
      </w:r>
      <w:r>
        <w:rPr>
          <w:rFonts w:ascii="Times New Roman" w:cs="Times New Roman" w:hAnsi="Times New Roman"/>
          <w:sz w:val="24"/>
          <w:szCs w:val="24"/>
        </w:rPr>
        <w:t>Hormone or surgery therapy option is supported too</w:t>
      </w:r>
      <w:r>
        <w:rPr>
          <w:rFonts w:ascii="Times New Roman" w:cs="Times New Roman" w:hAnsi="Times New Roman"/>
          <w:sz w:val="24"/>
          <w:szCs w:val="24"/>
        </w:rPr>
        <w:t>, but many people do not like it</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Chen, </w:t>
      </w:r>
      <w:r>
        <w:rPr>
          <w:rFonts w:ascii="Times New Roman" w:cs="Times New Roman" w:eastAsia="Times New Roman" w:hAnsi="Times New Roman"/>
          <w:sz w:val="24"/>
          <w:szCs w:val="24"/>
        </w:rPr>
        <w:t>Fuqua,</w:t>
      </w:r>
      <w:r>
        <w:rPr>
          <w:rFonts w:ascii="Times New Roman" w:cs="Times New Roman" w:eastAsia="Times New Roman" w:hAnsi="Times New Roman"/>
          <w:sz w:val="24"/>
          <w:szCs w:val="24"/>
        </w:rPr>
        <w:t xml:space="preserve"> &amp; Eugster, </w:t>
      </w:r>
      <w:r>
        <w:rPr>
          <w:rFonts w:ascii="Times New Roman" w:cs="Times New Roman" w:eastAsia="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rPr>
        <w:t>Many dislike it because it results in feelings of distress after treatment.</w:t>
      </w:r>
      <w:r>
        <w:rPr>
          <w:rFonts w:ascii="Times New Roman" w:cs="Times New Roman" w:hAnsi="Times New Roman"/>
          <w:sz w:val="24"/>
          <w:szCs w:val="24"/>
        </w:rPr>
        <w:t xml:space="preserve"> W</w:t>
      </w:r>
      <w:r>
        <w:rPr>
          <w:rFonts w:ascii="Times New Roman" w:cs="Times New Roman" w:hAnsi="Times New Roman"/>
          <w:sz w:val="24"/>
          <w:szCs w:val="24"/>
        </w:rPr>
        <w:t>e can see these possibilities in the psychotherapy discussion.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those people who overcome distress symptoms on </w:t>
      </w:r>
      <w:r>
        <w:rPr>
          <w:rFonts w:ascii="Times New Roman" w:cs="Times New Roman" w:hAnsi="Times New Roman"/>
          <w:sz w:val="24"/>
          <w:szCs w:val="24"/>
        </w:rPr>
        <w:t>their own, but not all.</w:t>
      </w:r>
      <w:r>
        <w:rPr>
          <w:rFonts w:ascii="Times New Roman" w:cs="Times New Roman" w:hAnsi="Times New Roman"/>
          <w:sz w:val="24"/>
          <w:szCs w:val="24"/>
        </w:rPr>
        <w:t xml:space="preserve"> It is important to note that psychotherapy, </w:t>
      </w:r>
      <w:r>
        <w:rPr>
          <w:rFonts w:ascii="Times New Roman" w:cs="Times New Roman" w:hAnsi="Times New Roman"/>
          <w:sz w:val="24"/>
          <w:szCs w:val="24"/>
        </w:rPr>
        <w:t>in most cases, becomes helpful in bringing up personal discovery facilitating self-comfort</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Holt, Skagerberg, &amp; Dunsford, </w:t>
      </w:r>
      <w:r>
        <w:rPr>
          <w:rFonts w:ascii="Times New Roman" w:cs="Times New Roman" w:eastAsia="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rPr>
        <w:t xml:space="preserve">It can as well act as a bridge to sort out some strong emotions </w:t>
      </w:r>
      <w:r>
        <w:rPr>
          <w:rFonts w:ascii="Times New Roman" w:cs="Times New Roman" w:hAnsi="Times New Roman"/>
          <w:sz w:val="24"/>
          <w:szCs w:val="24"/>
        </w:rPr>
        <w:t xml:space="preserve">resulting from stigma or peer-related challenges.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it is vital to note that </w:t>
      </w:r>
      <w:r>
        <w:rPr>
          <w:rFonts w:ascii="Times New Roman" w:cs="Times New Roman" w:hAnsi="Times New Roman"/>
          <w:sz w:val="24"/>
          <w:szCs w:val="24"/>
        </w:rPr>
        <w:t xml:space="preserve">the best outcomes for those </w:t>
      </w:r>
      <w:r>
        <w:rPr>
          <w:rFonts w:ascii="Times New Roman" w:cs="Times New Roman" w:hAnsi="Times New Roman"/>
          <w:sz w:val="24"/>
          <w:szCs w:val="24"/>
        </w:rPr>
        <w:t>with th</w:t>
      </w:r>
      <w:r>
        <w:rPr>
          <w:rFonts w:ascii="Times New Roman" w:cs="Times New Roman" w:hAnsi="Times New Roman"/>
          <w:sz w:val="24"/>
          <w:szCs w:val="24"/>
        </w:rPr>
        <w:t xml:space="preserve">e </w:t>
      </w:r>
      <w:r>
        <w:rPr>
          <w:rFonts w:ascii="Times New Roman" w:cs="Times New Roman" w:hAnsi="Times New Roman"/>
          <w:sz w:val="24"/>
          <w:szCs w:val="24"/>
        </w:rPr>
        <w:t xml:space="preserve">disorder </w:t>
      </w:r>
      <w:r>
        <w:rPr>
          <w:rFonts w:ascii="Times New Roman" w:cs="Times New Roman" w:hAnsi="Times New Roman"/>
          <w:sz w:val="24"/>
          <w:szCs w:val="24"/>
        </w:rPr>
        <w:t xml:space="preserve">are associated with comprehensive treatment, early diagnosis, and a supportive environment </w:t>
      </w:r>
      <w:r>
        <w:rPr>
          <w:rFonts w:ascii="Times New Roman" w:cs="Times New Roman" w:hAnsi="Times New Roman"/>
          <w:sz w:val="24"/>
          <w:szCs w:val="24"/>
        </w:rPr>
        <w:t xml:space="preserve">that respects the desires and wishes of the person. </w:t>
      </w:r>
    </w:p>
    <w:p>
      <w:pPr>
        <w:pStyle w:val="style0"/>
        <w:spacing w:after="0"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A case example</w:t>
      </w:r>
    </w:p>
    <w:p>
      <w:pPr>
        <w:pStyle w:val="style0"/>
        <w:tabs>
          <w:tab w:val="left" w:leader="none" w:pos="3600"/>
        </w:tabs>
        <w:spacing w:after="0" w:lineRule="auto" w:line="480"/>
        <w:ind w:firstLine="720"/>
        <w:rPr>
          <w:rFonts w:ascii="Times New Roman" w:cs="Times New Roman" w:eastAsia="Times New Roman" w:hAnsi="Times New Roman"/>
          <w:sz w:val="24"/>
          <w:szCs w:val="24"/>
        </w:rPr>
      </w:pPr>
      <w:r>
        <w:rPr>
          <w:rFonts w:ascii="Times New Roman" w:cs="Times New Roman" w:hAnsi="Times New Roman"/>
          <w:sz w:val="24"/>
          <w:szCs w:val="24"/>
        </w:rPr>
        <w:t xml:space="preserve"> DSM-5 disorders are a significant challenge in the psychological health of populations across the world. </w:t>
      </w:r>
      <w:r>
        <w:rPr>
          <w:rFonts w:ascii="Times New Roman" w:cs="Times New Roman" w:hAnsi="Times New Roman"/>
          <w:sz w:val="24"/>
          <w:szCs w:val="24"/>
        </w:rPr>
        <w:t xml:space="preserve">Sarah is a gender, dysphoria patient who needs a lot of care and attention from healthcare professionals. </w:t>
      </w:r>
      <w:r>
        <w:rPr>
          <w:rFonts w:ascii="Times New Roman" w:cs="Times New Roman" w:hAnsi="Times New Roman"/>
          <w:sz w:val="24"/>
          <w:szCs w:val="24"/>
        </w:rPr>
        <w:t>The fact that these disorders exist in various forms creates a strict process in identifying the specific disorder, assessing it, diagnosing it, and p</w:t>
      </w:r>
      <w:r>
        <w:rPr>
          <w:rFonts w:ascii="Times New Roman" w:cs="Times New Roman" w:hAnsi="Times New Roman"/>
          <w:sz w:val="24"/>
          <w:szCs w:val="24"/>
        </w:rPr>
        <w:t xml:space="preserve">rioritizing ethical and legal measures available in addressing the issue. </w:t>
      </w:r>
      <w:r>
        <w:rPr>
          <w:rFonts w:ascii="Times New Roman" w:cs="Times New Roman" w:eastAsia="Times New Roman" w:hAnsi="Times New Roman"/>
          <w:sz w:val="24"/>
          <w:szCs w:val="24"/>
        </w:rPr>
        <w:t xml:space="preserve">Gender Dysphoria </w:t>
      </w:r>
      <w:r>
        <w:rPr>
          <w:rFonts w:ascii="Times New Roman" w:cs="Times New Roman" w:eastAsia="Times New Roman" w:hAnsi="Times New Roman"/>
          <w:sz w:val="24"/>
          <w:szCs w:val="24"/>
        </w:rPr>
        <w:t xml:space="preserve">has indeed affected Sarah's health as she exhibits many symptoms that are outlined in the DSM-5. The DSM-5 has the diagnostic criteria for </w:t>
      </w:r>
      <w:r>
        <w:rPr>
          <w:rFonts w:ascii="Times New Roman" w:cs="Times New Roman" w:eastAsia="Times New Roman" w:hAnsi="Times New Roman"/>
          <w:sz w:val="24"/>
          <w:szCs w:val="24"/>
        </w:rPr>
        <w:t>Gender Dysphoria</w:t>
      </w:r>
      <w:r>
        <w:rPr>
          <w:rFonts w:ascii="Times New Roman" w:cs="Times New Roman" w:eastAsia="Times New Roman" w:hAnsi="Times New Roman"/>
          <w:sz w:val="24"/>
          <w:szCs w:val="24"/>
        </w:rPr>
        <w:t xml:space="preserve">. Some of </w:t>
      </w:r>
      <w:r>
        <w:rPr>
          <w:rFonts w:ascii="Times New Roman" w:cs="Times New Roman" w:eastAsia="Times New Roman" w:hAnsi="Times New Roman"/>
          <w:sz w:val="24"/>
          <w:szCs w:val="24"/>
        </w:rPr>
        <w:t xml:space="preserve">these symptoms include: (1) anxiety and depression are among the symptoms that people with </w:t>
      </w:r>
      <w:r>
        <w:rPr>
          <w:rFonts w:ascii="Times New Roman" w:cs="Times New Roman" w:eastAsia="Times New Roman" w:hAnsi="Times New Roman"/>
          <w:sz w:val="24"/>
          <w:szCs w:val="24"/>
        </w:rPr>
        <w:t xml:space="preserve">Gender Dysphoria </w:t>
      </w:r>
      <w:r>
        <w:rPr>
          <w:rFonts w:ascii="Times New Roman" w:cs="Times New Roman" w:eastAsia="Times New Roman" w:hAnsi="Times New Roman"/>
          <w:sz w:val="24"/>
          <w:szCs w:val="24"/>
        </w:rPr>
        <w:t xml:space="preserve">develop additional mental health disorders. Sarah displays anxiety while interacting with other people. </w:t>
      </w:r>
      <w:r>
        <w:rPr>
          <w:rFonts w:ascii="Times New Roman" w:cs="Times New Roman" w:hAnsi="Times New Roman"/>
          <w:sz w:val="24"/>
          <w:szCs w:val="24"/>
        </w:rPr>
        <w:t>Derealization and dissociative amnesia relat</w:t>
      </w:r>
      <w:r>
        <w:rPr>
          <w:rFonts w:ascii="Times New Roman" w:cs="Times New Roman" w:hAnsi="Times New Roman"/>
          <w:sz w:val="24"/>
          <w:szCs w:val="24"/>
        </w:rPr>
        <w:t>ed to the previous experience of losing a child resulted in severe anxiety and aggressive behavior towards</w:t>
      </w:r>
      <w:r>
        <w:rPr>
          <w:rFonts w:ascii="Times New Roman" w:cs="Times New Roman" w:hAnsi="Times New Roman"/>
          <w:sz w:val="24"/>
          <w:szCs w:val="24"/>
        </w:rPr>
        <w:t xml:space="preserve"> other gender</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(2) Negative mood symptom occurs when an individual experience sadness, negative thoughts, and low mood. </w:t>
      </w:r>
      <w:r>
        <w:rPr>
          <w:rFonts w:ascii="Times New Roman" w:cs="Times New Roman" w:hAnsi="Times New Roman"/>
          <w:sz w:val="24"/>
          <w:szCs w:val="24"/>
        </w:rPr>
        <w:t>Some symptoms of the disorder</w:t>
      </w:r>
      <w:r>
        <w:rPr>
          <w:rFonts w:ascii="Times New Roman" w:cs="Times New Roman" w:hAnsi="Times New Roman"/>
          <w:sz w:val="24"/>
          <w:szCs w:val="24"/>
        </w:rPr>
        <w:t xml:space="preserve"> were evident even earlier. A decrease in emotional responsiveness while communicating with her children, difficulties in experiencing pleasure during previously enjoyable activities, mood changes, as well as feeling guilty for the death of her son were am</w:t>
      </w:r>
      <w:r>
        <w:rPr>
          <w:rFonts w:ascii="Times New Roman" w:cs="Times New Roman" w:hAnsi="Times New Roman"/>
          <w:sz w:val="24"/>
          <w:szCs w:val="24"/>
        </w:rPr>
        <w:t xml:space="preserve">ong the initial signs of the disorder. </w:t>
      </w:r>
      <w:r>
        <w:rPr>
          <w:rFonts w:ascii="Times New Roman" w:cs="Times New Roman" w:eastAsia="Times New Roman" w:hAnsi="Times New Roman"/>
          <w:sz w:val="24"/>
          <w:szCs w:val="24"/>
        </w:rPr>
        <w:t xml:space="preserve">(3) Intrusion symptoms, </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avoidance symptoms, dissociative symptoms, arousal symptoms, anxiety, and depression.</w:t>
      </w:r>
    </w:p>
    <w:p>
      <w:pPr>
        <w:pStyle w:val="style0"/>
        <w:spacing w:after="0" w:lineRule="auto" w:line="480"/>
        <w:ind w:firstLine="720"/>
        <w:rPr>
          <w:rFonts w:ascii="Times New Roman" w:cs="Times New Roman" w:hAnsi="Times New Roman"/>
          <w:sz w:val="24"/>
          <w:szCs w:val="24"/>
        </w:rPr>
      </w:pPr>
      <w:r>
        <w:rPr>
          <w:rFonts w:ascii="Times New Roman" w:cs="Times New Roman" w:eastAsia="宋体" w:hAnsi="Times New Roman"/>
          <w:sz w:val="24"/>
          <w:szCs w:val="24"/>
          <w:shd w:val="clear" w:color="auto" w:fill="ffffff"/>
        </w:rPr>
        <w:t>Counselors facilitate client growth and development in ways that foster the interest and welfare of client</w:t>
      </w:r>
      <w:r>
        <w:rPr>
          <w:rFonts w:ascii="Times New Roman" w:cs="Times New Roman" w:eastAsia="宋体" w:hAnsi="Times New Roman"/>
          <w:sz w:val="24"/>
          <w:szCs w:val="24"/>
          <w:shd w:val="clear" w:color="auto" w:fill="ffffff"/>
        </w:rPr>
        <w:t xml:space="preserve">s and promote the formation of healthy relationships </w:t>
      </w:r>
      <w:r>
        <w:rPr>
          <w:rFonts w:ascii="Times New Roman" w:cs="Times New Roman" w:eastAsia="宋体" w:hAnsi="Times New Roman"/>
          <w:sz w:val="24"/>
          <w:szCs w:val="24"/>
          <w:shd w:val="clear" w:color="auto" w:fill="ffffff"/>
        </w:rPr>
        <w:t>(</w:t>
      </w:r>
      <w:r>
        <w:rPr>
          <w:rFonts w:ascii="Times New Roman" w:cs="Times New Roman" w:eastAsia="Times New Roman" w:hAnsi="Times New Roman"/>
          <w:sz w:val="24"/>
          <w:szCs w:val="24"/>
        </w:rPr>
        <w:t xml:space="preserve">Zucker, </w:t>
      </w:r>
      <w:r>
        <w:rPr>
          <w:rFonts w:ascii="Times New Roman" w:cs="Times New Roman" w:eastAsia="Times New Roman" w:hAnsi="Times New Roman"/>
          <w:sz w:val="24"/>
          <w:szCs w:val="24"/>
        </w:rPr>
        <w:t>2017)</w:t>
      </w:r>
      <w:r>
        <w:rPr>
          <w:rFonts w:ascii="Times New Roman" w:cs="Times New Roman" w:eastAsia="宋体" w:hAnsi="Times New Roman"/>
          <w:sz w:val="24"/>
          <w:szCs w:val="24"/>
          <w:shd w:val="clear" w:color="auto" w:fill="ffffff"/>
        </w:rPr>
        <w:t xml:space="preserve">. </w:t>
      </w:r>
      <w:r>
        <w:rPr>
          <w:rFonts w:ascii="Times New Roman" w:cs="Times New Roman" w:hAnsi="Times New Roman"/>
          <w:sz w:val="24"/>
          <w:szCs w:val="24"/>
        </w:rPr>
        <w:t xml:space="preserve">Without the standards of the code of ethics, it would be very difficult to make a judgment call with the many ethical dilemmas that arise in counseling. The code of ethics is like the </w:t>
      </w:r>
      <w:r>
        <w:rPr>
          <w:rFonts w:ascii="Times New Roman" w:cs="Times New Roman" w:hAnsi="Times New Roman"/>
          <w:sz w:val="24"/>
          <w:szCs w:val="24"/>
        </w:rPr>
        <w:t>bible for counselors, and we need to depend on it in our decision making when helping clients.</w:t>
      </w:r>
      <w:r>
        <w:rPr>
          <w:rFonts w:ascii="Times New Roman" w:cs="Times New Roman" w:eastAsia="宋体" w:hAnsi="Times New Roman"/>
          <w:kern w:val="24"/>
          <w:sz w:val="24"/>
          <w:szCs w:val="24"/>
        </w:rPr>
        <w:t xml:space="preserve"> Ethical and legal considerations will guide Sarah's counseling process. First Informed Consent prior to the start of the counseling relationship and throughout t</w:t>
      </w:r>
      <w:r>
        <w:rPr>
          <w:rFonts w:ascii="Times New Roman" w:cs="Times New Roman" w:eastAsia="宋体" w:hAnsi="Times New Roman"/>
          <w:kern w:val="24"/>
          <w:sz w:val="24"/>
          <w:szCs w:val="24"/>
        </w:rPr>
        <w:t xml:space="preserve">he counseling process would be significant. </w:t>
      </w:r>
      <w:r>
        <w:rPr>
          <w:rFonts w:ascii="Times New Roman" w:cs="Times New Roman" w:hAnsi="Times New Roman"/>
          <w:sz w:val="24"/>
          <w:szCs w:val="24"/>
          <w:shd w:val="clear" w:color="auto" w:fill="ffffff"/>
        </w:rPr>
        <w:t xml:space="preserve">Clients have the freedom to choose whether to enter into or remain in a counseling relationship and need adequate information about the counseling process and the counselor. </w:t>
      </w:r>
      <w:r>
        <w:rPr>
          <w:rFonts w:ascii="Times New Roman" w:cs="Times New Roman" w:hAnsi="Times New Roman"/>
          <w:sz w:val="24"/>
          <w:szCs w:val="24"/>
        </w:rPr>
        <w:t>Overall the ACA core principles of Autonomy would include educating Sarah but allowing her to make all decisions for herself, beneficence would ensure the process inflicts no harm to Sarah, and finally, it would be essential to understand and respect the various laws in the state of Maryland regarding counseling and treatment plans for Sarah.</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eastAsia="Times New Roman" w:hAnsi="Times New Roman"/>
          <w:sz w:val="24"/>
          <w:szCs w:val="24"/>
        </w:rPr>
        <w:t>The DSM-5 criteria are a practical approach to perform Sarah's diagnosis, where the process mainly depends on her exposure to a traumatic event, and recurring and distressing memories exist and are suppor</w:t>
      </w:r>
      <w:r>
        <w:rPr>
          <w:rFonts w:ascii="Times New Roman" w:cs="Times New Roman" w:eastAsia="Times New Roman" w:hAnsi="Times New Roman"/>
          <w:sz w:val="24"/>
          <w:szCs w:val="24"/>
        </w:rPr>
        <w:t xml:space="preserve">ted by data from WHODAS and the CFI. </w:t>
      </w:r>
      <w:r>
        <w:rPr>
          <w:rFonts w:ascii="Times New Roman" w:cs="Times New Roman" w:eastAsia="Times New Roman" w:hAnsi="Times New Roman"/>
          <w:sz w:val="24"/>
          <w:szCs w:val="24"/>
        </w:rPr>
        <w:t>Distinguishing gender dysphoria from other disorders through symptoms such as dissociation serves as Sarah's condition's differential diagnosis. Her reaction to daily events is an important aspect that needs monitoring throughout her treatment process. The process of determining an effective diagnosis involved an evaluative issue of Sarah's condition and the available diagnosis methods. The patient's well-being is the main focus; thus, enhancing the quality and tailored diagnostic process much helped in the treatment of the patient.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Early treatment of gender dysphoria </w:t>
      </w:r>
      <w:r>
        <w:rPr>
          <w:rFonts w:ascii="Times New Roman" w:cs="Times New Roman" w:hAnsi="Times New Roman"/>
          <w:sz w:val="24"/>
          <w:szCs w:val="24"/>
        </w:rPr>
        <w:t>should be advocated</w:t>
      </w:r>
      <w:r>
        <w:rPr>
          <w:rFonts w:ascii="Times New Roman" w:cs="Times New Roman" w:hAnsi="Times New Roman"/>
          <w:sz w:val="24"/>
          <w:szCs w:val="24"/>
        </w:rPr>
        <w:t xml:space="preserve"> at the early stages, especially during the childhood stage. </w:t>
      </w:r>
      <w:r>
        <w:rPr>
          <w:rFonts w:ascii="Times New Roman" w:cs="Times New Roman" w:hAnsi="Times New Roman"/>
          <w:sz w:val="24"/>
          <w:szCs w:val="24"/>
        </w:rPr>
        <w:t xml:space="preserve">For one to be able to qualify for a diagnosis of this disorder </w:t>
      </w:r>
      <w:r>
        <w:rPr>
          <w:rFonts w:ascii="Times New Roman" w:cs="Times New Roman" w:hAnsi="Times New Roman"/>
          <w:sz w:val="24"/>
          <w:szCs w:val="24"/>
        </w:rPr>
        <w:t>must have felt like significant impairment or distress. Many individuals with gender dysphoria tend to do some manners that depict that is not comfortable with his or her gender. In most cases, they tend to live according to their gender identity.</w:t>
      </w:r>
      <w:r>
        <w:rPr>
          <w:rFonts w:ascii="Times New Roman" w:cs="Times New Roman" w:hAnsi="Times New Roman"/>
          <w:sz w:val="24"/>
          <w:szCs w:val="24"/>
        </w:rPr>
        <w:t xml:space="preserve"> It is recommended to have family and individual counseling for children with this kind of disorder. Otherwise, it is recommended to have a couple or individual therapy for adults. Hormone or surgery therapy option is supported too, but many people do not like it. Many dislike it because it results in feelings of distress after treatment. </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eastAsia="Times New Roman" w:hAnsi="Times New Roman"/>
          <w:sz w:val="24"/>
          <w:szCs w:val="24"/>
        </w:rPr>
        <w:t>Aitken, M., Steensma, T. D., Blanchard, R., VanderLaan, D. P., Wood, H., Fuentes, A., ... &amp; Leef, J. H. (2015). Evidence for an altered sex ratio in clinic</w:t>
      </w:r>
      <w:r>
        <w:rPr>
          <w:rFonts w:ascii="Cambria Math" w:cs="Cambria Math" w:eastAsia="Times New Roman" w:hAnsi="Cambria Math"/>
          <w:sz w:val="24"/>
          <w:szCs w:val="24"/>
        </w:rPr>
        <w:t>‐</w:t>
      </w:r>
      <w:r>
        <w:rPr>
          <w:rFonts w:ascii="Times New Roman" w:cs="Times New Roman" w:eastAsia="Times New Roman" w:hAnsi="Times New Roman"/>
          <w:sz w:val="24"/>
          <w:szCs w:val="24"/>
        </w:rPr>
        <w:t>referre</w:t>
      </w:r>
      <w:r>
        <w:rPr>
          <w:rFonts w:ascii="Times New Roman" w:cs="Times New Roman" w:eastAsia="Times New Roman" w:hAnsi="Times New Roman"/>
          <w:sz w:val="24"/>
          <w:szCs w:val="24"/>
        </w:rPr>
        <w:t xml:space="preserve">d adolescents with gender dysphoria. </w:t>
      </w:r>
      <w:r>
        <w:rPr>
          <w:rFonts w:ascii="Times New Roman" w:cs="Times New Roman" w:eastAsia="Times New Roman" w:hAnsi="Times New Roman"/>
          <w:i/>
          <w:iCs/>
          <w:sz w:val="24"/>
          <w:szCs w:val="24"/>
        </w:rPr>
        <w:t>The journal of sexual medicine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12</w:t>
      </w:r>
      <w:r>
        <w:rPr>
          <w:rFonts w:ascii="Times New Roman" w:cs="Times New Roman" w:eastAsia="Times New Roman" w:hAnsi="Times New Roman"/>
          <w:sz w:val="24"/>
          <w:szCs w:val="24"/>
        </w:rPr>
        <w:t>(3), 756-763.</w:t>
      </w:r>
    </w:p>
    <w:p>
      <w:pPr>
        <w:pStyle w:val="style0"/>
        <w:spacing w:lineRule="auto" w:line="480"/>
        <w:ind w:left="720" w:hanging="720"/>
        <w:rPr>
          <w:rFonts w:ascii="Times New Roman" w:cs="Times New Roman" w:hAnsi="Times New Roman"/>
          <w:sz w:val="24"/>
          <w:szCs w:val="24"/>
        </w:rPr>
      </w:pPr>
      <w:r>
        <w:rPr>
          <w:rFonts w:ascii="Times New Roman" w:cs="Times New Roman" w:eastAsia="Times New Roman" w:hAnsi="Times New Roman"/>
          <w:sz w:val="24"/>
          <w:szCs w:val="24"/>
        </w:rPr>
        <w:t xml:space="preserve">Chen, M., Fuqua, J., &amp; Eugster, E. A. (2016). Characteristics of referrals for gender dysphoria over 13 years. </w:t>
      </w:r>
      <w:r>
        <w:rPr>
          <w:rFonts w:ascii="Times New Roman" w:cs="Times New Roman" w:eastAsia="Times New Roman" w:hAnsi="Times New Roman"/>
          <w:i/>
          <w:iCs/>
          <w:sz w:val="24"/>
          <w:szCs w:val="24"/>
        </w:rPr>
        <w:t>Journal of Adolescent Health</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58</w:t>
      </w:r>
      <w:r>
        <w:rPr>
          <w:rFonts w:ascii="Times New Roman" w:cs="Times New Roman" w:eastAsia="Times New Roman" w:hAnsi="Times New Roman"/>
          <w:sz w:val="24"/>
          <w:szCs w:val="24"/>
        </w:rPr>
        <w:t>(3), 369-371.</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Dhejne, C., Van Vlerken, R., Heylens, G., &amp; Arcelus, J. (2016). Mental health and gender dysphoria: A review of the literature. </w:t>
      </w:r>
      <w:r>
        <w:rPr>
          <w:rFonts w:ascii="Times New Roman" w:cs="Times New Roman" w:eastAsia="Times New Roman" w:hAnsi="Times New Roman"/>
          <w:i/>
          <w:iCs/>
          <w:sz w:val="24"/>
          <w:szCs w:val="24"/>
        </w:rPr>
        <w:t>International review of psychiatry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28</w:t>
      </w:r>
      <w:r>
        <w:rPr>
          <w:rFonts w:ascii="Times New Roman" w:cs="Times New Roman" w:eastAsia="Times New Roman" w:hAnsi="Times New Roman"/>
          <w:sz w:val="24"/>
          <w:szCs w:val="24"/>
        </w:rPr>
        <w:t>(1), 44-57.</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Heylens, G., Holst, S., Mellemans, M., Elaut, E., &amp;</w:t>
      </w:r>
      <w:r>
        <w:rPr>
          <w:rFonts w:ascii="Times New Roman" w:cs="Times New Roman" w:eastAsia="Times New Roman" w:hAnsi="Times New Roman"/>
          <w:sz w:val="24"/>
          <w:szCs w:val="24"/>
        </w:rPr>
        <w:t xml:space="preserve"> Dhondt, K. (2019). Are persons with gender dysphoria and autism spectrum disorder treated in a different way compared to persons with gender dysphoria without autism spectrum disorder?: Results from clinical chart data and a self-assessment questionnaire.</w:t>
      </w:r>
      <w:r>
        <w:rPr>
          <w:rFonts w:ascii="Times New Roman" w:cs="Times New Roman" w:eastAsia="Times New Roman" w:hAnsi="Times New Roman"/>
          <w:sz w:val="24"/>
          <w:szCs w:val="24"/>
        </w:rPr>
        <w:t xml:space="preserve"> In </w:t>
      </w:r>
      <w:r>
        <w:rPr>
          <w:rFonts w:ascii="Times New Roman" w:cs="Times New Roman" w:eastAsia="Times New Roman" w:hAnsi="Times New Roman"/>
          <w:i/>
          <w:iCs/>
          <w:sz w:val="24"/>
          <w:szCs w:val="24"/>
        </w:rPr>
        <w:t>3rd Biennial EPATH conference: Inside matters: on law, ethics, and religion</w:t>
      </w:r>
      <w:r>
        <w:rPr>
          <w:rFonts w:ascii="Times New Roman" w:cs="Times New Roman" w:eastAsia="Times New Roman" w:hAnsi="Times New Roman"/>
          <w:sz w:val="24"/>
          <w:szCs w:val="24"/>
        </w:rPr>
        <w:t>. European Professional Association for Transgender Health (EPATH).</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Holt, V., Skagerberg, E., &amp;</w:t>
      </w:r>
      <w:r>
        <w:rPr>
          <w:rFonts w:ascii="Times New Roman" w:cs="Times New Roman" w:eastAsia="Times New Roman" w:hAnsi="Times New Roman"/>
          <w:sz w:val="24"/>
          <w:szCs w:val="24"/>
        </w:rPr>
        <w:t xml:space="preserve"> Dunsford, M. (2016). Young people with features of gender dysphoria: Demographics and associated difficulties. </w:t>
      </w:r>
      <w:r>
        <w:rPr>
          <w:rFonts w:ascii="Times New Roman" w:cs="Times New Roman" w:eastAsia="Times New Roman" w:hAnsi="Times New Roman"/>
          <w:i/>
          <w:iCs/>
          <w:sz w:val="24"/>
          <w:szCs w:val="24"/>
        </w:rPr>
        <w:t>Clinical child psychology and psychiatry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21</w:t>
      </w:r>
      <w:r>
        <w:rPr>
          <w:rFonts w:ascii="Times New Roman" w:cs="Times New Roman" w:eastAsia="Times New Roman" w:hAnsi="Times New Roman"/>
          <w:sz w:val="24"/>
          <w:szCs w:val="24"/>
        </w:rPr>
        <w:t>(1), 108-118.</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Ristori, J., &amp; Steensma, T. D. (2016). Gender dysphoria in childhood. </w:t>
      </w:r>
      <w:r>
        <w:rPr>
          <w:rFonts w:ascii="Times New Roman" w:cs="Times New Roman" w:eastAsia="Times New Roman" w:hAnsi="Times New Roman"/>
          <w:i/>
          <w:iCs/>
          <w:sz w:val="24"/>
          <w:szCs w:val="24"/>
        </w:rPr>
        <w:t>International Re</w:t>
      </w:r>
      <w:r>
        <w:rPr>
          <w:rFonts w:ascii="Times New Roman" w:cs="Times New Roman" w:eastAsia="Times New Roman" w:hAnsi="Times New Roman"/>
          <w:i/>
          <w:iCs/>
          <w:sz w:val="24"/>
          <w:szCs w:val="24"/>
        </w:rPr>
        <w:t>view of Psychiatry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28</w:t>
      </w:r>
      <w:r>
        <w:rPr>
          <w:rFonts w:ascii="Times New Roman" w:cs="Times New Roman" w:eastAsia="Times New Roman" w:hAnsi="Times New Roman"/>
          <w:sz w:val="24"/>
          <w:szCs w:val="24"/>
        </w:rPr>
        <w:t>(1), 13-20.</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Strang, J. F., Meagher, H., Kenworthy, L., de Vries, A. L., Menvielle, E., Leibowitz, S., ... &amp; Pleak, R. R. (2018). Initial clinical guidelines for co-occurring autism spectrum disorder and gender dysphoria or incongruenc</w:t>
      </w:r>
      <w:r>
        <w:rPr>
          <w:rFonts w:ascii="Times New Roman" w:cs="Times New Roman" w:eastAsia="Times New Roman" w:hAnsi="Times New Roman"/>
          <w:sz w:val="24"/>
          <w:szCs w:val="24"/>
        </w:rPr>
        <w:t xml:space="preserve">e in adolescents. </w:t>
      </w:r>
      <w:r>
        <w:rPr>
          <w:rFonts w:ascii="Times New Roman" w:cs="Times New Roman" w:eastAsia="Times New Roman" w:hAnsi="Times New Roman"/>
          <w:i/>
          <w:iCs/>
          <w:sz w:val="24"/>
          <w:szCs w:val="24"/>
        </w:rPr>
        <w:t>Journal of Clinical Child &amp; Adolescent Psychology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47</w:t>
      </w:r>
      <w:r>
        <w:rPr>
          <w:rFonts w:ascii="Times New Roman" w:cs="Times New Roman" w:eastAsia="Times New Roman" w:hAnsi="Times New Roman"/>
          <w:sz w:val="24"/>
          <w:szCs w:val="24"/>
        </w:rPr>
        <w:t>(1), 105-115.</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Van de Grift, T. C., Cohen-Kettenis, P. T., Steensma, T. D., De Cuypere, G., Richter-Appelt, H., Haraldsen, I. R., ... &amp; Kreukels, B. P. (2016). Body satisfaction and phys</w:t>
      </w:r>
      <w:r>
        <w:rPr>
          <w:rFonts w:ascii="Times New Roman" w:cs="Times New Roman" w:eastAsia="Times New Roman" w:hAnsi="Times New Roman"/>
          <w:sz w:val="24"/>
          <w:szCs w:val="24"/>
        </w:rPr>
        <w:t xml:space="preserve">ical appearance in gender dysphoria. </w:t>
      </w:r>
      <w:r>
        <w:rPr>
          <w:rFonts w:ascii="Times New Roman" w:cs="Times New Roman" w:eastAsia="Times New Roman" w:hAnsi="Times New Roman"/>
          <w:i/>
          <w:iCs/>
          <w:sz w:val="24"/>
          <w:szCs w:val="24"/>
        </w:rPr>
        <w:t>Archives of sexual behavior</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45</w:t>
      </w:r>
      <w:r>
        <w:rPr>
          <w:rFonts w:ascii="Times New Roman" w:cs="Times New Roman" w:eastAsia="Times New Roman" w:hAnsi="Times New Roman"/>
          <w:sz w:val="24"/>
          <w:szCs w:val="24"/>
        </w:rPr>
        <w:t>(3), 575-585.</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Zucker, K. J. (2017). Epidemiology of gender dysphoria and transgender identity. </w:t>
      </w:r>
      <w:r>
        <w:rPr>
          <w:rFonts w:ascii="Times New Roman" w:cs="Times New Roman" w:eastAsia="Times New Roman" w:hAnsi="Times New Roman"/>
          <w:i/>
          <w:iCs/>
          <w:sz w:val="24"/>
          <w:szCs w:val="24"/>
        </w:rPr>
        <w:t>Sexual health</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14</w:t>
      </w:r>
      <w:r>
        <w:rPr>
          <w:rFonts w:ascii="Times New Roman" w:cs="Times New Roman" w:eastAsia="Times New Roman" w:hAnsi="Times New Roman"/>
          <w:sz w:val="24"/>
          <w:szCs w:val="24"/>
        </w:rPr>
        <w:t>(5), 404-411.</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Zucker, K. J., Lawrence, A. A., &amp;</w:t>
      </w:r>
      <w:r>
        <w:rPr>
          <w:rFonts w:ascii="Times New Roman" w:cs="Times New Roman" w:eastAsia="Times New Roman" w:hAnsi="Times New Roman"/>
          <w:sz w:val="24"/>
          <w:szCs w:val="24"/>
        </w:rPr>
        <w:t xml:space="preserve"> Kreukels, B. P. (2016). Gender dysphoria in adults. </w:t>
      </w:r>
      <w:r>
        <w:rPr>
          <w:rFonts w:ascii="Times New Roman" w:cs="Times New Roman" w:eastAsia="Times New Roman" w:hAnsi="Times New Roman"/>
          <w:i/>
          <w:iCs/>
          <w:sz w:val="24"/>
          <w:szCs w:val="24"/>
        </w:rPr>
        <w:t>Annual review of clinical psychology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12</w:t>
      </w:r>
      <w:r>
        <w:rPr>
          <w:rFonts w:ascii="Times New Roman" w:cs="Times New Roman" w:eastAsia="Times New Roman" w:hAnsi="Times New Roman"/>
          <w:sz w:val="24"/>
          <w:szCs w:val="24"/>
        </w:rPr>
        <w:t>, 217-247.</w:t>
      </w:r>
    </w:p>
    <w:p>
      <w:pPr>
        <w:pStyle w:val="style0"/>
        <w:tabs>
          <w:tab w:val="left" w:leader="none" w:pos="4170"/>
        </w:tabs>
        <w:spacing w:lineRule="auto" w:line="480"/>
        <w:ind w:left="720" w:hanging="72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color w:val="1b1b1b"/>
        <w:sz w:val="24"/>
        <w:szCs w:val="24"/>
        <w:shd w:val="clear" w:color="auto" w:fill="ffffff"/>
      </w:rPr>
      <w:t>DIAGNOSTIC PAPER ON GENDER DYSPHORIA ON DSM-5</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10</w:t>
    </w:r>
    <w:r>
      <w:rPr>
        <w:rFonts w:ascii="Times New Roman" w:cs="Times New Roman" w:hAnsi="Times New Roman"/>
        <w:noProof/>
        <w:sz w:val="24"/>
        <w:szCs w:val="24"/>
      </w:rPr>
      <w:fldChar w:fldCharType="end"/>
    </w:r>
    <w:r>
      <w:rPr>
        <w:rFonts w:ascii="Times New Roman" w:cs="Times New Roman" w:hAnsi="Times New Roman"/>
        <w:sz w:val="24"/>
        <w:szCs w:val="24"/>
      </w:rPr>
      <w:t xml:space="preserve">         </w:t>
    </w:r>
    <w:r>
      <w:rPr>
        <w:rFonts w:ascii="Times New Roman" w:cs="Times New Roman" w:hAnsi="Times New Roman"/>
        <w:sz w:val="24"/>
        <w:szCs w:val="24"/>
      </w:rP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color w:val="1b1b1b"/>
        <w:sz w:val="24"/>
        <w:szCs w:val="24"/>
        <w:shd w:val="clear" w:color="auto" w:fill="ffffff"/>
      </w:rPr>
      <w:t>DIAGNOSTIC PAPER ON GENDER DYSPHORIA ON DSM-5</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242E8B8"/>
    <w:lvl w:ilvl="0" w:tplc="FE56DFB8">
      <w:start w:val="1"/>
      <w:numFmt w:val="bullet"/>
      <w:lvlText w:val=""/>
      <w:lvlJc w:val="left"/>
      <w:pPr>
        <w:ind w:left="720" w:hanging="360"/>
      </w:pPr>
      <w:rPr>
        <w:rFonts w:ascii="Symbol" w:hAnsi="Symbol" w:hint="default"/>
      </w:rPr>
    </w:lvl>
    <w:lvl w:ilvl="1" w:tplc="5A109994" w:tentative="1">
      <w:start w:val="1"/>
      <w:numFmt w:val="bullet"/>
      <w:lvlText w:val="o"/>
      <w:lvlJc w:val="left"/>
      <w:pPr>
        <w:ind w:left="1440" w:hanging="360"/>
      </w:pPr>
      <w:rPr>
        <w:rFonts w:ascii="Courier New" w:cs="Courier New" w:hAnsi="Courier New" w:hint="default"/>
      </w:rPr>
    </w:lvl>
    <w:lvl w:ilvl="2" w:tplc="5EEA9780" w:tentative="1">
      <w:start w:val="1"/>
      <w:numFmt w:val="bullet"/>
      <w:lvlText w:val=""/>
      <w:lvlJc w:val="left"/>
      <w:pPr>
        <w:ind w:left="2160" w:hanging="360"/>
      </w:pPr>
      <w:rPr>
        <w:rFonts w:ascii="Wingdings" w:hAnsi="Wingdings" w:hint="default"/>
      </w:rPr>
    </w:lvl>
    <w:lvl w:ilvl="3" w:tplc="7F881494" w:tentative="1">
      <w:start w:val="1"/>
      <w:numFmt w:val="bullet"/>
      <w:lvlText w:val=""/>
      <w:lvlJc w:val="left"/>
      <w:pPr>
        <w:ind w:left="2880" w:hanging="360"/>
      </w:pPr>
      <w:rPr>
        <w:rFonts w:ascii="Symbol" w:hAnsi="Symbol" w:hint="default"/>
      </w:rPr>
    </w:lvl>
    <w:lvl w:ilvl="4" w:tplc="D91CB0BC" w:tentative="1">
      <w:start w:val="1"/>
      <w:numFmt w:val="bullet"/>
      <w:lvlText w:val="o"/>
      <w:lvlJc w:val="left"/>
      <w:pPr>
        <w:ind w:left="3600" w:hanging="360"/>
      </w:pPr>
      <w:rPr>
        <w:rFonts w:ascii="Courier New" w:cs="Courier New" w:hAnsi="Courier New" w:hint="default"/>
      </w:rPr>
    </w:lvl>
    <w:lvl w:ilvl="5" w:tplc="877C0AA2" w:tentative="1">
      <w:start w:val="1"/>
      <w:numFmt w:val="bullet"/>
      <w:lvlText w:val=""/>
      <w:lvlJc w:val="left"/>
      <w:pPr>
        <w:ind w:left="4320" w:hanging="360"/>
      </w:pPr>
      <w:rPr>
        <w:rFonts w:ascii="Wingdings" w:hAnsi="Wingdings" w:hint="default"/>
      </w:rPr>
    </w:lvl>
    <w:lvl w:ilvl="6" w:tplc="48B0D600" w:tentative="1">
      <w:start w:val="1"/>
      <w:numFmt w:val="bullet"/>
      <w:lvlText w:val=""/>
      <w:lvlJc w:val="left"/>
      <w:pPr>
        <w:ind w:left="5040" w:hanging="360"/>
      </w:pPr>
      <w:rPr>
        <w:rFonts w:ascii="Symbol" w:hAnsi="Symbol" w:hint="default"/>
      </w:rPr>
    </w:lvl>
    <w:lvl w:ilvl="7" w:tplc="7EB467F8" w:tentative="1">
      <w:start w:val="1"/>
      <w:numFmt w:val="bullet"/>
      <w:lvlText w:val="o"/>
      <w:lvlJc w:val="left"/>
      <w:pPr>
        <w:ind w:left="5760" w:hanging="360"/>
      </w:pPr>
      <w:rPr>
        <w:rFonts w:ascii="Courier New" w:cs="Courier New" w:hAnsi="Courier New" w:hint="default"/>
      </w:rPr>
    </w:lvl>
    <w:lvl w:ilvl="8" w:tplc="10A01698"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687A7396"/>
    <w:lvl w:ilvl="0" w:tplc="AB9AD5D6">
      <w:start w:val="1"/>
      <w:numFmt w:val="bullet"/>
      <w:lvlText w:val=""/>
      <w:lvlJc w:val="left"/>
      <w:pPr>
        <w:ind w:left="720" w:hanging="360"/>
      </w:pPr>
      <w:rPr>
        <w:rFonts w:ascii="Symbol" w:hAnsi="Symbol" w:hint="default"/>
      </w:rPr>
    </w:lvl>
    <w:lvl w:ilvl="1" w:tplc="101E9C62" w:tentative="1">
      <w:start w:val="1"/>
      <w:numFmt w:val="bullet"/>
      <w:lvlText w:val="o"/>
      <w:lvlJc w:val="left"/>
      <w:pPr>
        <w:ind w:left="1440" w:hanging="360"/>
      </w:pPr>
      <w:rPr>
        <w:rFonts w:ascii="Courier New" w:cs="Courier New" w:hAnsi="Courier New" w:hint="default"/>
      </w:rPr>
    </w:lvl>
    <w:lvl w:ilvl="2" w:tplc="F3EA0126" w:tentative="1">
      <w:start w:val="1"/>
      <w:numFmt w:val="bullet"/>
      <w:lvlText w:val=""/>
      <w:lvlJc w:val="left"/>
      <w:pPr>
        <w:ind w:left="2160" w:hanging="360"/>
      </w:pPr>
      <w:rPr>
        <w:rFonts w:ascii="Wingdings" w:hAnsi="Wingdings" w:hint="default"/>
      </w:rPr>
    </w:lvl>
    <w:lvl w:ilvl="3" w:tplc="5166299C" w:tentative="1">
      <w:start w:val="1"/>
      <w:numFmt w:val="bullet"/>
      <w:lvlText w:val=""/>
      <w:lvlJc w:val="left"/>
      <w:pPr>
        <w:ind w:left="2880" w:hanging="360"/>
      </w:pPr>
      <w:rPr>
        <w:rFonts w:ascii="Symbol" w:hAnsi="Symbol" w:hint="default"/>
      </w:rPr>
    </w:lvl>
    <w:lvl w:ilvl="4" w:tplc="AADE79AC" w:tentative="1">
      <w:start w:val="1"/>
      <w:numFmt w:val="bullet"/>
      <w:lvlText w:val="o"/>
      <w:lvlJc w:val="left"/>
      <w:pPr>
        <w:ind w:left="3600" w:hanging="360"/>
      </w:pPr>
      <w:rPr>
        <w:rFonts w:ascii="Courier New" w:cs="Courier New" w:hAnsi="Courier New" w:hint="default"/>
      </w:rPr>
    </w:lvl>
    <w:lvl w:ilvl="5" w:tplc="51DE26DE" w:tentative="1">
      <w:start w:val="1"/>
      <w:numFmt w:val="bullet"/>
      <w:lvlText w:val=""/>
      <w:lvlJc w:val="left"/>
      <w:pPr>
        <w:ind w:left="4320" w:hanging="360"/>
      </w:pPr>
      <w:rPr>
        <w:rFonts w:ascii="Wingdings" w:hAnsi="Wingdings" w:hint="default"/>
      </w:rPr>
    </w:lvl>
    <w:lvl w:ilvl="6" w:tplc="A118C370" w:tentative="1">
      <w:start w:val="1"/>
      <w:numFmt w:val="bullet"/>
      <w:lvlText w:val=""/>
      <w:lvlJc w:val="left"/>
      <w:pPr>
        <w:ind w:left="5040" w:hanging="360"/>
      </w:pPr>
      <w:rPr>
        <w:rFonts w:ascii="Symbol" w:hAnsi="Symbol" w:hint="default"/>
      </w:rPr>
    </w:lvl>
    <w:lvl w:ilvl="7" w:tplc="351016DC" w:tentative="1">
      <w:start w:val="1"/>
      <w:numFmt w:val="bullet"/>
      <w:lvlText w:val="o"/>
      <w:lvlJc w:val="left"/>
      <w:pPr>
        <w:ind w:left="5760" w:hanging="360"/>
      </w:pPr>
      <w:rPr>
        <w:rFonts w:ascii="Courier New" w:cs="Courier New" w:hAnsi="Courier New" w:hint="default"/>
      </w:rPr>
    </w:lvl>
    <w:lvl w:ilvl="8" w:tplc="4C5A9602"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63E6EBB4"/>
    <w:lvl w:ilvl="0" w:tplc="0DA85EC6">
      <w:start w:val="1"/>
      <w:numFmt w:val="bullet"/>
      <w:lvlText w:val=""/>
      <w:lvlJc w:val="left"/>
      <w:pPr>
        <w:ind w:left="720" w:hanging="360"/>
      </w:pPr>
      <w:rPr>
        <w:rFonts w:ascii="Symbol" w:hAnsi="Symbol" w:hint="default"/>
      </w:rPr>
    </w:lvl>
    <w:lvl w:ilvl="1" w:tplc="59CEB932" w:tentative="1">
      <w:start w:val="1"/>
      <w:numFmt w:val="bullet"/>
      <w:lvlText w:val="o"/>
      <w:lvlJc w:val="left"/>
      <w:pPr>
        <w:ind w:left="1440" w:hanging="360"/>
      </w:pPr>
      <w:rPr>
        <w:rFonts w:ascii="Courier New" w:cs="Courier New" w:hAnsi="Courier New" w:hint="default"/>
      </w:rPr>
    </w:lvl>
    <w:lvl w:ilvl="2" w:tplc="596A9CFA" w:tentative="1">
      <w:start w:val="1"/>
      <w:numFmt w:val="bullet"/>
      <w:lvlText w:val=""/>
      <w:lvlJc w:val="left"/>
      <w:pPr>
        <w:ind w:left="2160" w:hanging="360"/>
      </w:pPr>
      <w:rPr>
        <w:rFonts w:ascii="Wingdings" w:hAnsi="Wingdings" w:hint="default"/>
      </w:rPr>
    </w:lvl>
    <w:lvl w:ilvl="3" w:tplc="B98A7792" w:tentative="1">
      <w:start w:val="1"/>
      <w:numFmt w:val="bullet"/>
      <w:lvlText w:val=""/>
      <w:lvlJc w:val="left"/>
      <w:pPr>
        <w:ind w:left="2880" w:hanging="360"/>
      </w:pPr>
      <w:rPr>
        <w:rFonts w:ascii="Symbol" w:hAnsi="Symbol" w:hint="default"/>
      </w:rPr>
    </w:lvl>
    <w:lvl w:ilvl="4" w:tplc="B09E3A9C" w:tentative="1">
      <w:start w:val="1"/>
      <w:numFmt w:val="bullet"/>
      <w:lvlText w:val="o"/>
      <w:lvlJc w:val="left"/>
      <w:pPr>
        <w:ind w:left="3600" w:hanging="360"/>
      </w:pPr>
      <w:rPr>
        <w:rFonts w:ascii="Courier New" w:cs="Courier New" w:hAnsi="Courier New" w:hint="default"/>
      </w:rPr>
    </w:lvl>
    <w:lvl w:ilvl="5" w:tplc="DF00BC08" w:tentative="1">
      <w:start w:val="1"/>
      <w:numFmt w:val="bullet"/>
      <w:lvlText w:val=""/>
      <w:lvlJc w:val="left"/>
      <w:pPr>
        <w:ind w:left="4320" w:hanging="360"/>
      </w:pPr>
      <w:rPr>
        <w:rFonts w:ascii="Wingdings" w:hAnsi="Wingdings" w:hint="default"/>
      </w:rPr>
    </w:lvl>
    <w:lvl w:ilvl="6" w:tplc="0DEC6C18" w:tentative="1">
      <w:start w:val="1"/>
      <w:numFmt w:val="bullet"/>
      <w:lvlText w:val=""/>
      <w:lvlJc w:val="left"/>
      <w:pPr>
        <w:ind w:left="5040" w:hanging="360"/>
      </w:pPr>
      <w:rPr>
        <w:rFonts w:ascii="Symbol" w:hAnsi="Symbol" w:hint="default"/>
      </w:rPr>
    </w:lvl>
    <w:lvl w:ilvl="7" w:tplc="3962D2F0" w:tentative="1">
      <w:start w:val="1"/>
      <w:numFmt w:val="bullet"/>
      <w:lvlText w:val="o"/>
      <w:lvlJc w:val="left"/>
      <w:pPr>
        <w:ind w:left="5760" w:hanging="360"/>
      </w:pPr>
      <w:rPr>
        <w:rFonts w:ascii="Courier New" w:cs="Courier New" w:hAnsi="Courier New" w:hint="default"/>
      </w:rPr>
    </w:lvl>
    <w:lvl w:ilvl="8" w:tplc="E3E42AD2"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4B349210"/>
    <w:lvl w:ilvl="0" w:tplc="B142A09A">
      <w:start w:val="1"/>
      <w:numFmt w:val="bullet"/>
      <w:lvlText w:val=""/>
      <w:lvlJc w:val="left"/>
      <w:pPr>
        <w:ind w:left="720" w:hanging="360"/>
      </w:pPr>
      <w:rPr>
        <w:rFonts w:ascii="Symbol" w:hAnsi="Symbol" w:hint="default"/>
      </w:rPr>
    </w:lvl>
    <w:lvl w:ilvl="1" w:tplc="D6E494BE" w:tentative="1">
      <w:start w:val="1"/>
      <w:numFmt w:val="bullet"/>
      <w:lvlText w:val="o"/>
      <w:lvlJc w:val="left"/>
      <w:pPr>
        <w:ind w:left="1440" w:hanging="360"/>
      </w:pPr>
      <w:rPr>
        <w:rFonts w:ascii="Courier New" w:cs="Courier New" w:hAnsi="Courier New" w:hint="default"/>
      </w:rPr>
    </w:lvl>
    <w:lvl w:ilvl="2" w:tplc="DE32E5EA" w:tentative="1">
      <w:start w:val="1"/>
      <w:numFmt w:val="bullet"/>
      <w:lvlText w:val=""/>
      <w:lvlJc w:val="left"/>
      <w:pPr>
        <w:ind w:left="2160" w:hanging="360"/>
      </w:pPr>
      <w:rPr>
        <w:rFonts w:ascii="Wingdings" w:hAnsi="Wingdings" w:hint="default"/>
      </w:rPr>
    </w:lvl>
    <w:lvl w:ilvl="3" w:tplc="D496270A" w:tentative="1">
      <w:start w:val="1"/>
      <w:numFmt w:val="bullet"/>
      <w:lvlText w:val=""/>
      <w:lvlJc w:val="left"/>
      <w:pPr>
        <w:ind w:left="2880" w:hanging="360"/>
      </w:pPr>
      <w:rPr>
        <w:rFonts w:ascii="Symbol" w:hAnsi="Symbol" w:hint="default"/>
      </w:rPr>
    </w:lvl>
    <w:lvl w:ilvl="4" w:tplc="01E28548" w:tentative="1">
      <w:start w:val="1"/>
      <w:numFmt w:val="bullet"/>
      <w:lvlText w:val="o"/>
      <w:lvlJc w:val="left"/>
      <w:pPr>
        <w:ind w:left="3600" w:hanging="360"/>
      </w:pPr>
      <w:rPr>
        <w:rFonts w:ascii="Courier New" w:cs="Courier New" w:hAnsi="Courier New" w:hint="default"/>
      </w:rPr>
    </w:lvl>
    <w:lvl w:ilvl="5" w:tplc="95602EC6" w:tentative="1">
      <w:start w:val="1"/>
      <w:numFmt w:val="bullet"/>
      <w:lvlText w:val=""/>
      <w:lvlJc w:val="left"/>
      <w:pPr>
        <w:ind w:left="4320" w:hanging="360"/>
      </w:pPr>
      <w:rPr>
        <w:rFonts w:ascii="Wingdings" w:hAnsi="Wingdings" w:hint="default"/>
      </w:rPr>
    </w:lvl>
    <w:lvl w:ilvl="6" w:tplc="E110B61E" w:tentative="1">
      <w:start w:val="1"/>
      <w:numFmt w:val="bullet"/>
      <w:lvlText w:val=""/>
      <w:lvlJc w:val="left"/>
      <w:pPr>
        <w:ind w:left="5040" w:hanging="360"/>
      </w:pPr>
      <w:rPr>
        <w:rFonts w:ascii="Symbol" w:hAnsi="Symbol" w:hint="default"/>
      </w:rPr>
    </w:lvl>
    <w:lvl w:ilvl="7" w:tplc="18F6F4EC" w:tentative="1">
      <w:start w:val="1"/>
      <w:numFmt w:val="bullet"/>
      <w:lvlText w:val="o"/>
      <w:lvlJc w:val="left"/>
      <w:pPr>
        <w:ind w:left="5760" w:hanging="360"/>
      </w:pPr>
      <w:rPr>
        <w:rFonts w:ascii="Courier New" w:cs="Courier New" w:hAnsi="Courier New" w:hint="default"/>
      </w:rPr>
    </w:lvl>
    <w:lvl w:ilvl="8" w:tplc="C8FE5546"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F61666A4"/>
    <w:lvl w:ilvl="0" w:tplc="556EBDBC">
      <w:start w:val="1"/>
      <w:numFmt w:val="bullet"/>
      <w:lvlText w:val=""/>
      <w:lvlJc w:val="left"/>
      <w:pPr>
        <w:ind w:left="720" w:hanging="360"/>
      </w:pPr>
      <w:rPr>
        <w:rFonts w:ascii="Symbol" w:hAnsi="Symbol" w:hint="default"/>
      </w:rPr>
    </w:lvl>
    <w:lvl w:ilvl="1" w:tplc="5DE4598C" w:tentative="1">
      <w:start w:val="1"/>
      <w:numFmt w:val="bullet"/>
      <w:lvlText w:val="o"/>
      <w:lvlJc w:val="left"/>
      <w:pPr>
        <w:ind w:left="1440" w:hanging="360"/>
      </w:pPr>
      <w:rPr>
        <w:rFonts w:ascii="Courier New" w:cs="Courier New" w:hAnsi="Courier New" w:hint="default"/>
      </w:rPr>
    </w:lvl>
    <w:lvl w:ilvl="2" w:tplc="B672E2C6" w:tentative="1">
      <w:start w:val="1"/>
      <w:numFmt w:val="bullet"/>
      <w:lvlText w:val=""/>
      <w:lvlJc w:val="left"/>
      <w:pPr>
        <w:ind w:left="2160" w:hanging="360"/>
      </w:pPr>
      <w:rPr>
        <w:rFonts w:ascii="Wingdings" w:hAnsi="Wingdings" w:hint="default"/>
      </w:rPr>
    </w:lvl>
    <w:lvl w:ilvl="3" w:tplc="4774890C" w:tentative="1">
      <w:start w:val="1"/>
      <w:numFmt w:val="bullet"/>
      <w:lvlText w:val=""/>
      <w:lvlJc w:val="left"/>
      <w:pPr>
        <w:ind w:left="2880" w:hanging="360"/>
      </w:pPr>
      <w:rPr>
        <w:rFonts w:ascii="Symbol" w:hAnsi="Symbol" w:hint="default"/>
      </w:rPr>
    </w:lvl>
    <w:lvl w:ilvl="4" w:tplc="313898BA" w:tentative="1">
      <w:start w:val="1"/>
      <w:numFmt w:val="bullet"/>
      <w:lvlText w:val="o"/>
      <w:lvlJc w:val="left"/>
      <w:pPr>
        <w:ind w:left="3600" w:hanging="360"/>
      </w:pPr>
      <w:rPr>
        <w:rFonts w:ascii="Courier New" w:cs="Courier New" w:hAnsi="Courier New" w:hint="default"/>
      </w:rPr>
    </w:lvl>
    <w:lvl w:ilvl="5" w:tplc="8D64ACB6" w:tentative="1">
      <w:start w:val="1"/>
      <w:numFmt w:val="bullet"/>
      <w:lvlText w:val=""/>
      <w:lvlJc w:val="left"/>
      <w:pPr>
        <w:ind w:left="4320" w:hanging="360"/>
      </w:pPr>
      <w:rPr>
        <w:rFonts w:ascii="Wingdings" w:hAnsi="Wingdings" w:hint="default"/>
      </w:rPr>
    </w:lvl>
    <w:lvl w:ilvl="6" w:tplc="35B4AED8" w:tentative="1">
      <w:start w:val="1"/>
      <w:numFmt w:val="bullet"/>
      <w:lvlText w:val=""/>
      <w:lvlJc w:val="left"/>
      <w:pPr>
        <w:ind w:left="5040" w:hanging="360"/>
      </w:pPr>
      <w:rPr>
        <w:rFonts w:ascii="Symbol" w:hAnsi="Symbol" w:hint="default"/>
      </w:rPr>
    </w:lvl>
    <w:lvl w:ilvl="7" w:tplc="2A9E74CA" w:tentative="1">
      <w:start w:val="1"/>
      <w:numFmt w:val="bullet"/>
      <w:lvlText w:val="o"/>
      <w:lvlJc w:val="left"/>
      <w:pPr>
        <w:ind w:left="5760" w:hanging="360"/>
      </w:pPr>
      <w:rPr>
        <w:rFonts w:ascii="Courier New" w:cs="Courier New" w:hAnsi="Courier New" w:hint="default"/>
      </w:rPr>
    </w:lvl>
    <w:lvl w:ilvl="8" w:tplc="DE366C90"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8BEA30F2"/>
    <w:lvl w:ilvl="0" w:tplc="59DEF110">
      <w:start w:val="1"/>
      <w:numFmt w:val="bullet"/>
      <w:lvlText w:val=""/>
      <w:lvlJc w:val="left"/>
      <w:pPr>
        <w:ind w:left="720" w:hanging="360"/>
      </w:pPr>
      <w:rPr>
        <w:rFonts w:ascii="Wingdings" w:hAnsi="Wingdings" w:hint="default"/>
      </w:rPr>
    </w:lvl>
    <w:lvl w:ilvl="1" w:tplc="974223FE" w:tentative="1">
      <w:start w:val="1"/>
      <w:numFmt w:val="bullet"/>
      <w:lvlText w:val="o"/>
      <w:lvlJc w:val="left"/>
      <w:pPr>
        <w:ind w:left="1440" w:hanging="360"/>
      </w:pPr>
      <w:rPr>
        <w:rFonts w:ascii="Courier New" w:cs="Courier New" w:hAnsi="Courier New" w:hint="default"/>
      </w:rPr>
    </w:lvl>
    <w:lvl w:ilvl="2" w:tplc="3E940070" w:tentative="1">
      <w:start w:val="1"/>
      <w:numFmt w:val="bullet"/>
      <w:lvlText w:val=""/>
      <w:lvlJc w:val="left"/>
      <w:pPr>
        <w:ind w:left="2160" w:hanging="360"/>
      </w:pPr>
      <w:rPr>
        <w:rFonts w:ascii="Wingdings" w:hAnsi="Wingdings" w:hint="default"/>
      </w:rPr>
    </w:lvl>
    <w:lvl w:ilvl="3" w:tplc="17961774" w:tentative="1">
      <w:start w:val="1"/>
      <w:numFmt w:val="bullet"/>
      <w:lvlText w:val=""/>
      <w:lvlJc w:val="left"/>
      <w:pPr>
        <w:ind w:left="2880" w:hanging="360"/>
      </w:pPr>
      <w:rPr>
        <w:rFonts w:ascii="Symbol" w:hAnsi="Symbol" w:hint="default"/>
      </w:rPr>
    </w:lvl>
    <w:lvl w:ilvl="4" w:tplc="FFA87F40" w:tentative="1">
      <w:start w:val="1"/>
      <w:numFmt w:val="bullet"/>
      <w:lvlText w:val="o"/>
      <w:lvlJc w:val="left"/>
      <w:pPr>
        <w:ind w:left="3600" w:hanging="360"/>
      </w:pPr>
      <w:rPr>
        <w:rFonts w:ascii="Courier New" w:cs="Courier New" w:hAnsi="Courier New" w:hint="default"/>
      </w:rPr>
    </w:lvl>
    <w:lvl w:ilvl="5" w:tplc="2D848D7E" w:tentative="1">
      <w:start w:val="1"/>
      <w:numFmt w:val="bullet"/>
      <w:lvlText w:val=""/>
      <w:lvlJc w:val="left"/>
      <w:pPr>
        <w:ind w:left="4320" w:hanging="360"/>
      </w:pPr>
      <w:rPr>
        <w:rFonts w:ascii="Wingdings" w:hAnsi="Wingdings" w:hint="default"/>
      </w:rPr>
    </w:lvl>
    <w:lvl w:ilvl="6" w:tplc="B63469A2" w:tentative="1">
      <w:start w:val="1"/>
      <w:numFmt w:val="bullet"/>
      <w:lvlText w:val=""/>
      <w:lvlJc w:val="left"/>
      <w:pPr>
        <w:ind w:left="5040" w:hanging="360"/>
      </w:pPr>
      <w:rPr>
        <w:rFonts w:ascii="Symbol" w:hAnsi="Symbol" w:hint="default"/>
      </w:rPr>
    </w:lvl>
    <w:lvl w:ilvl="7" w:tplc="03BA49C2" w:tentative="1">
      <w:start w:val="1"/>
      <w:numFmt w:val="bullet"/>
      <w:lvlText w:val="o"/>
      <w:lvlJc w:val="left"/>
      <w:pPr>
        <w:ind w:left="5760" w:hanging="360"/>
      </w:pPr>
      <w:rPr>
        <w:rFonts w:ascii="Courier New" w:cs="Courier New" w:hAnsi="Courier New" w:hint="default"/>
      </w:rPr>
    </w:lvl>
    <w:lvl w:ilvl="8" w:tplc="EA82FCB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39">
    <w:name w:val="annotation reference"/>
    <w:basedOn w:val="style65"/>
    <w:next w:val="style39"/>
    <w:rPr>
      <w:sz w:val="16"/>
      <w:szCs w:val="16"/>
    </w:rPr>
  </w:style>
  <w:style w:type="paragraph" w:styleId="style30">
    <w:name w:val="annotation text"/>
    <w:basedOn w:val="style0"/>
    <w:next w:val="style30"/>
    <w:link w:val="style4097"/>
    <w:uiPriority w:val="99"/>
    <w:pPr>
      <w:spacing w:lineRule="auto" w:line="240"/>
    </w:pPr>
    <w:rPr>
      <w:sz w:val="20"/>
      <w:szCs w:val="20"/>
    </w:rPr>
  </w:style>
  <w:style w:type="character" w:customStyle="1" w:styleId="style4097">
    <w:name w:val="Comment Text Char"/>
    <w:basedOn w:val="style65"/>
    <w:next w:val="style4097"/>
    <w:link w:val="style30"/>
    <w:uiPriority w:val="99"/>
    <w:rPr>
      <w:sz w:val="20"/>
      <w:szCs w:val="20"/>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ce6c2145-aded-4463-80b2-b5154833e1b3"/>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29a16576-6de6-4847-ac24-1059f1aeae11"/>
    <w:basedOn w:val="style65"/>
    <w:next w:val="style4099"/>
    <w:link w:val="style32"/>
    <w:uiPriority w:val="99"/>
  </w:style>
  <w:style w:type="paragraph" w:styleId="style179">
    <w:name w:val="List Paragraph"/>
    <w:basedOn w:val="style0"/>
    <w:next w:val="style179"/>
    <w:qFormat/>
    <w:uiPriority w:val="34"/>
    <w:pPr>
      <w:ind w:left="720"/>
      <w:contextualSpacing/>
    </w:pPr>
    <w:rPr/>
  </w:style>
  <w:style w:type="character" w:styleId="style88">
    <w:name w:val="Emphasis"/>
    <w:basedOn w:val="style65"/>
    <w:next w:val="style88"/>
    <w:qFormat/>
    <w:uiPriority w:val="20"/>
    <w:rPr>
      <w:i/>
      <w:iCs/>
    </w:r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rPr>
  </w:style>
  <w:style w:type="character" w:styleId="style85">
    <w:name w:val="Hyperlink"/>
    <w:basedOn w:val="style65"/>
    <w:next w:val="style85"/>
    <w:uiPriority w:val="99"/>
    <w:rPr>
      <w:color w:val="0563c1"/>
      <w:u w:val="single"/>
    </w:rPr>
  </w:style>
  <w:style w:type="paragraph" w:styleId="style265">
    <w:name w:val="Bibliography"/>
    <w:basedOn w:val="style0"/>
    <w:next w:val="style0"/>
    <w:uiPriority w:val="37"/>
    <w:pPr>
      <w:spacing w:after="200" w:lineRule="auto" w:line="276"/>
    </w:pPr>
    <w:rPr>
      <w:rFonts w:ascii="Times New Roman" w:hAnsi="Times New Roman"/>
      <w:sz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Smi13</b:Tag>
    <b:SourceType>JournalArticle</b:SourceType>
    <b:Guid>{ECF008B6-34F7-4FD6-A48E-C8F1F3563705}</b:Guid>
    <b:Author>
      <b:Author>
        <b:NameList>
          <b:Person>
            <b:Last>Smith</b:Last>
            <b:First>P.</b:First>
            <b:Middle>F., Hadler, J. L., Stanbury, M., Rolfs, R. T., &amp; Hopkins, R. S.</b:Middle>
          </b:Person>
        </b:NameList>
      </b:Author>
    </b:Author>
    <b:Title> “Blueprint version 2.0”: updating public health surveillance for the 21st century. </b:Title>
    <b:JournalName> Journal of Public Health Management and Practice,</b:JournalName>
    <b:Year>2013</b:Year>
    <b:Pages>19(3), 231-239</b:Pages>
    <b:RefOrder>1</b:RefOrder>
  </b:Source>
  <b:Source>
    <b:Tag>Alh12</b:Tag>
    <b:SourceType>JournalArticle</b:SourceType>
    <b:Guid>{30CF20D4-B6B4-4A00-8296-8620693351CB}</b:Guid>
    <b:Author>
      <b:Author>
        <b:NameList>
          <b:Person>
            <b:Last>Alharbi</b:Last>
            <b:First>M.,</b:First>
            <b:Middle>&amp; Yusoff, R. Z.</b:Middle>
          </b:Person>
        </b:NameList>
      </b:Author>
    </b:Author>
    <b:Title>Leadership styles, and their relationship with quality management practices in public hospitals in Saudi Arabia. </b:Title>
    <b:JournalName>International Journal of Economics and Management Sciences,</b:JournalName>
    <b:Year> 2012</b:Year>
    <b:Pages> 1(10), 59-67.</b:Pages>
    <b:RefOrder>1</b:RefOrder>
  </b:Source>
  <b:Source>
    <b:Tag>Ala10</b:Tag>
    <b:SourceType>JournalArticle</b:SourceType>
    <b:Guid>{8DEE3AC7-798C-41D3-BD85-0770CD4EEFAA}</b:Guid>
    <b:Author>
      <b:Author>
        <b:NameList>
          <b:Person>
            <b:Last>Alahmadi</b:Last>
            <b:First>H.</b:First>
            <b:Middle>A.</b:Middle>
          </b:Person>
        </b:NameList>
      </b:Author>
    </b:Author>
    <b:Title>Assessment of patient safety culture in Saudi Arabian hospitals. Qual Saf Health Care,</b:Title>
    <b:Year>2010</b:Year>
    <b:Pages> 19(5), e17-e17.</b:Pages>
    <b:RefOrder>3</b:RefOrder>
  </b:Source>
  <b:Source>
    <b:Tag>Kha15</b:Tag>
    <b:SourceType>JournalArticle</b:SourceType>
    <b:Guid>{C257D1AE-ABE5-4FEE-8D5D-44020FFA4B33}</b:Guid>
    <b:Author>
      <b:Author>
        <b:NameList>
          <b:Person>
            <b:Last>Khater</b:Last>
            <b:First>W.</b:First>
            <b:Middle>A., Akhu‐Zaheya, L. M., AL‐Mahasneh, S. I., &amp; Khater, R.</b:Middle>
          </b:Person>
        </b:NameList>
      </b:Author>
    </b:Author>
    <b:Title>Nurses' perceptions of patient safety culture in Jordanian hospitals. International nursing review</b:Title>
    <b:Year> 2015</b:Year>
    <b:Pages> 62(1), 82-91</b:Pages>
    <b:RefOrder>2</b:RefOrder>
  </b:Source>
</b:Sources>
</file>

<file path=customXml/itemProps1.xml><?xml version="1.0" encoding="utf-8"?>
<ds:datastoreItem xmlns:ds="http://schemas.openxmlformats.org/officeDocument/2006/customXml" ds:itemID="{7F721C8B-40FA-4C67-8277-4E89D942A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2551</Words>
  <Pages>11</Pages>
  <Characters>14108</Characters>
  <Application>WPS Office</Application>
  <DocSecurity>0</DocSecurity>
  <Paragraphs>92</Paragraphs>
  <ScaleCrop>false</ScaleCrop>
  <LinksUpToDate>false</LinksUpToDate>
  <CharactersWithSpaces>16685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2019-12-01T10:49:14Z</dcterms:created>
  <dc:creator>KINGS</dc:creator>
  <lastModifiedBy>JKM-LX1</lastModifiedBy>
  <dcterms:modified xsi:type="dcterms:W3CDTF">2019-12-01T10:49:15Z</dcterms:modified>
  <revision>3</revision>
</coreProperties>
</file>

<file path=docProps/custom.xml><?xml version="1.0" encoding="utf-8"?>
<Properties xmlns="http://schemas.openxmlformats.org/officeDocument/2006/custom-properties" xmlns:vt="http://schemas.openxmlformats.org/officeDocument/2006/docPropsVTypes"/>
</file>